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6646F" w14:textId="367794B3" w:rsidR="00636E53" w:rsidRPr="00406712" w:rsidRDefault="00662E58" w:rsidP="00636E53">
      <w:pPr>
        <w:jc w:val="center"/>
        <w:rPr>
          <w:rFonts w:ascii="Baskerville Old Face" w:hAnsi="Baskerville Old Face"/>
          <w:b/>
          <w:sz w:val="56"/>
        </w:rPr>
      </w:pPr>
      <w:r>
        <w:rPr>
          <w:rFonts w:ascii="Baskerville Old Face" w:hAnsi="Baskerville Old Face"/>
          <w:b/>
          <w:sz w:val="56"/>
        </w:rPr>
        <w:t>Features (16Cs) and strategies</w:t>
      </w:r>
      <w:r w:rsidR="00636E53" w:rsidRPr="00406712">
        <w:rPr>
          <w:rFonts w:ascii="Baskerville Old Face" w:hAnsi="Baskerville Old Face"/>
          <w:b/>
          <w:sz w:val="56"/>
        </w:rPr>
        <w:t xml:space="preserve"> (7Ts) for science and risk communication</w:t>
      </w:r>
    </w:p>
    <w:p w14:paraId="1DB79E43" w14:textId="4BE6E1B8" w:rsidR="00636E53" w:rsidRPr="000F2007" w:rsidRDefault="00636E53" w:rsidP="00636E53">
      <w:pPr>
        <w:jc w:val="center"/>
        <w:rPr>
          <w:rFonts w:ascii="Baskerville Old Face" w:hAnsi="Baskerville Old Face"/>
          <w:sz w:val="36"/>
        </w:rPr>
      </w:pPr>
      <w:r w:rsidRPr="000F2007">
        <w:rPr>
          <w:rFonts w:ascii="Baskerville Old Face" w:hAnsi="Baskerville Old Face"/>
          <w:sz w:val="36"/>
        </w:rPr>
        <w:t>Vivienne Bryner (</w:t>
      </w:r>
      <w:r w:rsidR="00722B95">
        <w:rPr>
          <w:rFonts w:ascii="Baskerville Old Face" w:hAnsi="Baskerville Old Face"/>
          <w:sz w:val="36"/>
        </w:rPr>
        <w:t>Vivienne.bryn</w:t>
      </w:r>
      <w:r w:rsidR="00A5496E">
        <w:rPr>
          <w:rFonts w:ascii="Baskerville Old Face" w:hAnsi="Baskerville Old Face"/>
          <w:sz w:val="36"/>
        </w:rPr>
        <w:t>e</w:t>
      </w:r>
      <w:r w:rsidR="00722B95">
        <w:rPr>
          <w:rFonts w:ascii="Baskerville Old Face" w:hAnsi="Baskerville Old Face"/>
          <w:sz w:val="36"/>
        </w:rPr>
        <w:t>r@gmail.com</w:t>
      </w:r>
      <w:r w:rsidRPr="000F2007">
        <w:rPr>
          <w:rFonts w:ascii="Baskerville Old Face" w:hAnsi="Baskerville Old Face"/>
          <w:sz w:val="36"/>
        </w:rPr>
        <w:t>)</w:t>
      </w:r>
    </w:p>
    <w:p w14:paraId="283F4310" w14:textId="6057F6EC" w:rsidR="00636E53" w:rsidRPr="00F547CB" w:rsidRDefault="001D76AD" w:rsidP="00F547CB">
      <w:pPr>
        <w:pStyle w:val="PhDBodytext"/>
      </w:pPr>
      <w:r w:rsidRPr="00F547CB">
        <w:t xml:space="preserve">The mass media are considered a central channel for communicating the sciences of </w:t>
      </w:r>
      <w:r w:rsidR="0011602C" w:rsidRPr="00F547CB">
        <w:t>disaster risk reduction (</w:t>
      </w:r>
      <w:r w:rsidRPr="00F547CB">
        <w:t>DRR</w:t>
      </w:r>
      <w:r w:rsidR="0011602C" w:rsidRPr="00F547CB">
        <w:t>)</w:t>
      </w:r>
      <w:r w:rsidRPr="00F547CB">
        <w:t xml:space="preserve"> to citize</w:t>
      </w:r>
      <w:r w:rsidR="0011602C" w:rsidRPr="00F547CB">
        <w:t>ns an</w:t>
      </w:r>
      <w:r w:rsidR="00F93CCD">
        <w:t xml:space="preserve">d has a significant collective </w:t>
      </w:r>
      <w:r w:rsidR="0033475B">
        <w:t>e</w:t>
      </w:r>
      <w:r w:rsidR="0033475B" w:rsidRPr="00F547CB">
        <w:t>ffect</w:t>
      </w:r>
      <w:r w:rsidR="0033475B">
        <w:t xml:space="preserve"> on</w:t>
      </w:r>
      <w:r w:rsidR="0011602C" w:rsidRPr="00F547CB">
        <w:t xml:space="preserve"> how individuals and society consider natural hazards science, mitigation, and risk reduction principles. Effective communication that meets citizen needs will be achieved by aligning DRR topic knowledge with citizen information requirements leading to </w:t>
      </w:r>
      <w:r w:rsidRPr="00F547CB">
        <w:t>increased engagement in DRR and to support DRR-focussed decision-making.</w:t>
      </w:r>
      <w:r w:rsidR="00682A0D" w:rsidRPr="00F547CB">
        <w:t xml:space="preserve"> </w:t>
      </w:r>
      <w:r w:rsidR="0011602C" w:rsidRPr="00F547CB">
        <w:t xml:space="preserve">The objective of </w:t>
      </w:r>
      <w:r w:rsidR="00F93CCD">
        <w:t>my</w:t>
      </w:r>
      <w:r w:rsidR="0011602C" w:rsidRPr="00F547CB">
        <w:t xml:space="preserve"> research was to identify practical </w:t>
      </w:r>
      <w:r w:rsidR="00F93CCD">
        <w:t xml:space="preserve">ways in which media, scientists, and </w:t>
      </w:r>
      <w:r w:rsidR="0011602C" w:rsidRPr="00F547CB">
        <w:t xml:space="preserve">policy- and decision-makers could individually and collaboratively improve the content of mass media </w:t>
      </w:r>
      <w:r w:rsidR="00F93CCD">
        <w:t>concerning</w:t>
      </w:r>
      <w:r w:rsidR="0011602C" w:rsidRPr="00F547CB">
        <w:t xml:space="preserve"> natural hazards. </w:t>
      </w:r>
      <w:r w:rsidR="00722B95">
        <w:t xml:space="preserve">I undertook </w:t>
      </w:r>
      <w:r w:rsidR="00A5496E">
        <w:t xml:space="preserve">an </w:t>
      </w:r>
      <w:r w:rsidR="00722B95">
        <w:t>extensive literature review, surveyed and interviewed 493 New Zealand citizens including scientists and other Canterbury-earthquake-related media sources, analysed earthquake-related articles in New Zealand-base</w:t>
      </w:r>
      <w:bookmarkStart w:id="0" w:name="_GoBack"/>
      <w:bookmarkEnd w:id="0"/>
      <w:r w:rsidR="00722B95">
        <w:t>d on-line print media articles and television broadcasts, as well as women’s magazines published before and during the Canterbury earthquakes of 2010 and 2011, and compared the content with a proxy of earthquake-related research generated by analysis of over 4500 academic articles relating to 20 recent earthquakes</w:t>
      </w:r>
      <w:r w:rsidR="00A5496E">
        <w:t xml:space="preserve">. </w:t>
      </w:r>
      <w:r w:rsidR="00BF539B">
        <w:t>The</w:t>
      </w:r>
      <w:r w:rsidR="00682A0D" w:rsidRPr="00F547CB">
        <w:t xml:space="preserve"> table below represen</w:t>
      </w:r>
      <w:r w:rsidR="00BF539B">
        <w:t xml:space="preserve">ts a synthesis of </w:t>
      </w:r>
      <w:r w:rsidR="00722B95">
        <w:t>the literature review as to</w:t>
      </w:r>
      <w:r w:rsidR="00682A0D" w:rsidRPr="00F547CB">
        <w:t xml:space="preserve"> how scientists and practitioners can better communicate</w:t>
      </w:r>
      <w:r w:rsidR="00CF3ED8">
        <w:t xml:space="preserve"> about science and risk for DRR.</w:t>
      </w:r>
      <w:r w:rsidR="00682A0D" w:rsidRPr="00F547CB">
        <w:t xml:space="preserve"> </w:t>
      </w:r>
    </w:p>
    <w:tbl>
      <w:tblPr>
        <w:tblStyle w:val="TableGrid"/>
        <w:tblW w:w="0" w:type="auto"/>
        <w:jc w:val="center"/>
        <w:tblLook w:val="04A0" w:firstRow="1" w:lastRow="0" w:firstColumn="1" w:lastColumn="0" w:noHBand="0" w:noVBand="1"/>
      </w:tblPr>
      <w:tblGrid>
        <w:gridCol w:w="846"/>
        <w:gridCol w:w="846"/>
        <w:gridCol w:w="5386"/>
        <w:gridCol w:w="8364"/>
        <w:gridCol w:w="992"/>
        <w:gridCol w:w="4674"/>
        <w:gridCol w:w="28"/>
      </w:tblGrid>
      <w:tr w:rsidR="003F7449" w:rsidRPr="003F7449" w14:paraId="0C6CBF40" w14:textId="77777777" w:rsidTr="00AE4819">
        <w:trPr>
          <w:jc w:val="center"/>
        </w:trPr>
        <w:tc>
          <w:tcPr>
            <w:tcW w:w="16434" w:type="dxa"/>
            <w:gridSpan w:val="5"/>
            <w:tcBorders>
              <w:top w:val="nil"/>
              <w:left w:val="nil"/>
              <w:bottom w:val="nil"/>
              <w:right w:val="nil"/>
            </w:tcBorders>
          </w:tcPr>
          <w:p w14:paraId="14BB1620" w14:textId="5AD18407" w:rsidR="003F7449" w:rsidRPr="003F7449" w:rsidRDefault="001E494F" w:rsidP="003F7449">
            <w:pPr>
              <w:jc w:val="center"/>
              <w:rPr>
                <w:rFonts w:ascii="Baskerville Old Face" w:hAnsi="Baskerville Old Face"/>
                <w:b/>
                <w:color w:val="002060"/>
                <w:sz w:val="44"/>
              </w:rPr>
            </w:pPr>
            <w:r>
              <w:rPr>
                <w:rFonts w:ascii="Baskerville Old Face" w:hAnsi="Baskerville Old Face"/>
                <w:b/>
                <w:color w:val="002060"/>
                <w:sz w:val="44"/>
              </w:rPr>
              <w:t>16</w:t>
            </w:r>
            <w:r w:rsidR="003F7449" w:rsidRPr="003F7449">
              <w:rPr>
                <w:rFonts w:ascii="Baskerville Old Face" w:hAnsi="Baskerville Old Face"/>
                <w:b/>
                <w:color w:val="002060"/>
                <w:sz w:val="44"/>
              </w:rPr>
              <w:t>Cs:</w:t>
            </w:r>
          </w:p>
        </w:tc>
        <w:tc>
          <w:tcPr>
            <w:tcW w:w="4702" w:type="dxa"/>
            <w:gridSpan w:val="2"/>
            <w:tcBorders>
              <w:top w:val="nil"/>
              <w:left w:val="nil"/>
              <w:bottom w:val="nil"/>
              <w:right w:val="nil"/>
            </w:tcBorders>
          </w:tcPr>
          <w:p w14:paraId="684C84AB" w14:textId="794367A2" w:rsidR="003F7449" w:rsidRPr="00EB4790" w:rsidRDefault="001E494F" w:rsidP="003F7449">
            <w:pPr>
              <w:jc w:val="center"/>
              <w:rPr>
                <w:rFonts w:ascii="Baskerville Old Face" w:hAnsi="Baskerville Old Face"/>
                <w:b/>
                <w:color w:val="000000" w:themeColor="text1"/>
                <w:sz w:val="44"/>
              </w:rPr>
            </w:pPr>
            <w:r w:rsidRPr="00EB4790">
              <w:rPr>
                <w:rFonts w:ascii="Baskerville Old Face" w:hAnsi="Baskerville Old Face"/>
                <w:b/>
                <w:color w:val="000000" w:themeColor="text1"/>
                <w:sz w:val="44"/>
              </w:rPr>
              <w:t>7</w:t>
            </w:r>
            <w:r w:rsidR="003F7449" w:rsidRPr="00EB4790">
              <w:rPr>
                <w:rFonts w:ascii="Baskerville Old Face" w:hAnsi="Baskerville Old Face"/>
                <w:b/>
                <w:color w:val="000000" w:themeColor="text1"/>
                <w:sz w:val="44"/>
              </w:rPr>
              <w:t>Ts:</w:t>
            </w:r>
          </w:p>
        </w:tc>
      </w:tr>
      <w:tr w:rsidR="003F7449" w:rsidRPr="003F7449" w14:paraId="49551755" w14:textId="77777777" w:rsidTr="00AE4819">
        <w:trPr>
          <w:jc w:val="center"/>
        </w:trPr>
        <w:tc>
          <w:tcPr>
            <w:tcW w:w="16434" w:type="dxa"/>
            <w:gridSpan w:val="5"/>
            <w:tcBorders>
              <w:top w:val="nil"/>
              <w:left w:val="nil"/>
              <w:bottom w:val="single" w:sz="4" w:space="0" w:color="auto"/>
              <w:right w:val="nil"/>
            </w:tcBorders>
          </w:tcPr>
          <w:p w14:paraId="58AD337A" w14:textId="783FF6B4" w:rsidR="003F7449" w:rsidRPr="003F7449" w:rsidRDefault="003F7449" w:rsidP="003F7449">
            <w:pPr>
              <w:jc w:val="center"/>
              <w:rPr>
                <w:rFonts w:ascii="Baskerville Old Face" w:hAnsi="Baskerville Old Face"/>
                <w:b/>
                <w:color w:val="002060"/>
                <w:sz w:val="44"/>
              </w:rPr>
            </w:pPr>
            <w:r w:rsidRPr="003F7449">
              <w:rPr>
                <w:rFonts w:ascii="Baskerville Old Face" w:hAnsi="Baskerville Old Face"/>
                <w:b/>
                <w:color w:val="002060"/>
                <w:sz w:val="44"/>
              </w:rPr>
              <w:t>Key features of well-regarded science and risk communication</w:t>
            </w:r>
          </w:p>
        </w:tc>
        <w:tc>
          <w:tcPr>
            <w:tcW w:w="4702" w:type="dxa"/>
            <w:gridSpan w:val="2"/>
            <w:tcBorders>
              <w:top w:val="nil"/>
              <w:left w:val="nil"/>
              <w:bottom w:val="nil"/>
              <w:right w:val="nil"/>
            </w:tcBorders>
          </w:tcPr>
          <w:p w14:paraId="079CC722" w14:textId="5DF44B45" w:rsidR="003F7449" w:rsidRPr="00EB4790" w:rsidRDefault="003F7449" w:rsidP="003F7449">
            <w:pPr>
              <w:jc w:val="center"/>
              <w:rPr>
                <w:rFonts w:ascii="Baskerville Old Face" w:hAnsi="Baskerville Old Face"/>
                <w:b/>
                <w:color w:val="000000" w:themeColor="text1"/>
                <w:sz w:val="44"/>
              </w:rPr>
            </w:pPr>
            <w:r w:rsidRPr="00EB4790">
              <w:rPr>
                <w:rFonts w:ascii="Baskerville Old Face" w:hAnsi="Baskerville Old Face"/>
                <w:b/>
                <w:color w:val="000000" w:themeColor="text1"/>
                <w:sz w:val="44"/>
              </w:rPr>
              <w:t>Strategies</w:t>
            </w:r>
          </w:p>
        </w:tc>
      </w:tr>
      <w:tr w:rsidR="003F7449" w:rsidRPr="003F7449" w14:paraId="03E5EFE4" w14:textId="77777777" w:rsidTr="00CF3ED8">
        <w:trPr>
          <w:gridAfter w:val="1"/>
          <w:wAfter w:w="28" w:type="dxa"/>
          <w:cantSplit/>
          <w:trHeight w:val="850"/>
          <w:jc w:val="center"/>
        </w:trPr>
        <w:tc>
          <w:tcPr>
            <w:tcW w:w="846"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extDirection w:val="btLr"/>
            <w:vAlign w:val="center"/>
          </w:tcPr>
          <w:p w14:paraId="4F735E30" w14:textId="2739FF30" w:rsidR="003F7449" w:rsidRPr="003F7449" w:rsidRDefault="003F7449" w:rsidP="003F7449">
            <w:pPr>
              <w:ind w:left="113" w:right="113"/>
              <w:jc w:val="center"/>
              <w:rPr>
                <w:rFonts w:ascii="Adelle PE" w:hAnsi="Adelle PE"/>
                <w:sz w:val="28"/>
                <w:szCs w:val="28"/>
              </w:rPr>
            </w:pPr>
            <w:r w:rsidRPr="003F7449">
              <w:rPr>
                <w:rFonts w:ascii="Adelle PE" w:hAnsi="Adelle PE"/>
                <w:sz w:val="28"/>
                <w:szCs w:val="28"/>
              </w:rPr>
              <w:t xml:space="preserve">A </w:t>
            </w:r>
            <w:r w:rsidRPr="00EB4790">
              <w:rPr>
                <w:rFonts w:ascii="Adelle PE" w:hAnsi="Adelle PE"/>
                <w:b/>
                <w:sz w:val="28"/>
                <w:szCs w:val="28"/>
              </w:rPr>
              <w:t>CONSIDERATE</w:t>
            </w:r>
            <w:r w:rsidRPr="003F7449">
              <w:rPr>
                <w:rFonts w:ascii="Adelle PE" w:hAnsi="Adelle PE"/>
                <w:sz w:val="28"/>
                <w:szCs w:val="28"/>
              </w:rPr>
              <w:t xml:space="preserve"> communication that is…</w:t>
            </w:r>
          </w:p>
        </w:tc>
        <w:tc>
          <w:tcPr>
            <w:tcW w:w="846" w:type="dxa"/>
            <w:tcBorders>
              <w:top w:val="single" w:sz="4" w:space="0" w:color="auto"/>
              <w:left w:val="nil"/>
              <w:bottom w:val="nil"/>
              <w:right w:val="single" w:sz="4" w:space="0" w:color="auto"/>
            </w:tcBorders>
            <w:shd w:val="clear" w:color="auto" w:fill="BDD6EE" w:themeFill="accent1" w:themeFillTint="66"/>
          </w:tcPr>
          <w:p w14:paraId="79C08ED8" w14:textId="1E2A14F9" w:rsidR="003F7449" w:rsidRPr="003F7449" w:rsidRDefault="003F7449" w:rsidP="00C31D9E">
            <w:pPr>
              <w:rPr>
                <w:rFonts w:ascii="Adelle PE" w:hAnsi="Adelle PE"/>
                <w:sz w:val="28"/>
                <w:szCs w:val="28"/>
              </w:rPr>
            </w:pPr>
          </w:p>
        </w:tc>
        <w:tc>
          <w:tcPr>
            <w:tcW w:w="5386" w:type="dxa"/>
            <w:tcBorders>
              <w:top w:val="single" w:sz="4" w:space="0" w:color="auto"/>
              <w:left w:val="single" w:sz="4" w:space="0" w:color="auto"/>
            </w:tcBorders>
            <w:shd w:val="clear" w:color="auto" w:fill="BDD6EE" w:themeFill="accent1" w:themeFillTint="66"/>
            <w:vAlign w:val="center"/>
          </w:tcPr>
          <w:p w14:paraId="6B34F4AB" w14:textId="33E696D9" w:rsidR="003F7449" w:rsidRPr="00EB4790" w:rsidRDefault="003F7449" w:rsidP="00E168CF">
            <w:pPr>
              <w:jc w:val="center"/>
              <w:rPr>
                <w:rFonts w:ascii="Adelle PE" w:hAnsi="Adelle PE"/>
                <w:b/>
                <w:sz w:val="26"/>
                <w:szCs w:val="26"/>
              </w:rPr>
            </w:pPr>
            <w:r w:rsidRPr="00EB4790">
              <w:rPr>
                <w:rFonts w:ascii="Adelle PE" w:hAnsi="Adelle PE"/>
                <w:b/>
                <w:sz w:val="26"/>
                <w:szCs w:val="26"/>
              </w:rPr>
              <w:t>CLEAR</w:t>
            </w:r>
          </w:p>
        </w:tc>
        <w:tc>
          <w:tcPr>
            <w:tcW w:w="8364" w:type="dxa"/>
            <w:tcBorders>
              <w:top w:val="single" w:sz="4" w:space="0" w:color="auto"/>
              <w:right w:val="single" w:sz="4" w:space="0" w:color="auto"/>
            </w:tcBorders>
            <w:shd w:val="clear" w:color="auto" w:fill="BDD6EE" w:themeFill="accent1" w:themeFillTint="66"/>
            <w:vAlign w:val="center"/>
          </w:tcPr>
          <w:p w14:paraId="699B3C3B" w14:textId="6BD95962" w:rsidR="003F7449" w:rsidRPr="003F7449" w:rsidRDefault="00CD6D0D" w:rsidP="00594726">
            <w:pPr>
              <w:jc w:val="left"/>
              <w:rPr>
                <w:rFonts w:ascii="Adelle PE" w:hAnsi="Adelle PE"/>
              </w:rPr>
            </w:pPr>
            <w:r>
              <w:rPr>
                <w:rFonts w:ascii="Adelle PE" w:hAnsi="Adelle PE"/>
              </w:rPr>
              <w:t>s</w:t>
            </w:r>
            <w:r w:rsidR="003F7449" w:rsidRPr="003F7449">
              <w:rPr>
                <w:rFonts w:ascii="Adelle PE" w:hAnsi="Adelle PE"/>
              </w:rPr>
              <w:t>imple and clear core message</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textDirection w:val="btLr"/>
            <w:vAlign w:val="center"/>
          </w:tcPr>
          <w:p w14:paraId="036283DF" w14:textId="593E7838" w:rsidR="003F7449" w:rsidRPr="003F7449" w:rsidRDefault="003F7449" w:rsidP="00C31D9E">
            <w:pPr>
              <w:jc w:val="center"/>
              <w:rPr>
                <w:rFonts w:ascii="Adelle PE" w:hAnsi="Adelle PE"/>
                <w:sz w:val="28"/>
                <w:szCs w:val="28"/>
              </w:rPr>
            </w:pPr>
            <w:r w:rsidRPr="003F7449">
              <w:rPr>
                <w:rFonts w:ascii="Adelle PE" w:hAnsi="Adelle PE"/>
                <w:sz w:val="28"/>
                <w:szCs w:val="28"/>
              </w:rPr>
              <w:t>And</w:t>
            </w:r>
            <w:r>
              <w:rPr>
                <w:rFonts w:ascii="Adelle PE" w:hAnsi="Adelle PE"/>
                <w:sz w:val="28"/>
                <w:szCs w:val="28"/>
              </w:rPr>
              <w:t xml:space="preserve"> exhibits the </w:t>
            </w:r>
            <w:r w:rsidRPr="00F93CCD">
              <w:rPr>
                <w:rFonts w:ascii="Adelle PE" w:hAnsi="Adelle PE"/>
                <w:b/>
                <w:sz w:val="28"/>
                <w:szCs w:val="28"/>
              </w:rPr>
              <w:t>COMPLETE</w:t>
            </w:r>
            <w:r>
              <w:rPr>
                <w:rFonts w:ascii="Adelle PE" w:hAnsi="Adelle PE"/>
                <w:sz w:val="28"/>
                <w:szCs w:val="28"/>
              </w:rPr>
              <w:t xml:space="preserve"> range of strategy elements:</w:t>
            </w:r>
          </w:p>
        </w:tc>
        <w:tc>
          <w:tcPr>
            <w:tcW w:w="4674" w:type="dxa"/>
            <w:tcBorders>
              <w:left w:val="single" w:sz="4" w:space="0" w:color="auto"/>
            </w:tcBorders>
            <w:shd w:val="clear" w:color="auto" w:fill="FFF2CC" w:themeFill="accent4" w:themeFillTint="33"/>
            <w:vAlign w:val="center"/>
          </w:tcPr>
          <w:p w14:paraId="7569ACB8" w14:textId="18583F66" w:rsidR="003F7449" w:rsidRPr="003F7449" w:rsidRDefault="003F7449" w:rsidP="000D58B1">
            <w:pPr>
              <w:jc w:val="center"/>
              <w:rPr>
                <w:rFonts w:ascii="Adelle PE" w:hAnsi="Adelle PE"/>
                <w:sz w:val="28"/>
                <w:szCs w:val="28"/>
              </w:rPr>
            </w:pPr>
            <w:r w:rsidRPr="000D58B1">
              <w:rPr>
                <w:rFonts w:ascii="Adelle PE" w:hAnsi="Adelle PE"/>
              </w:rPr>
              <w:t>Begin, conclude or include options for</w:t>
            </w:r>
            <w:r w:rsidRPr="003F7449">
              <w:rPr>
                <w:rFonts w:ascii="Adelle PE" w:hAnsi="Adelle PE"/>
                <w:sz w:val="28"/>
                <w:szCs w:val="28"/>
              </w:rPr>
              <w:t xml:space="preserve"> </w:t>
            </w:r>
            <w:r w:rsidRPr="00EB4790">
              <w:rPr>
                <w:rFonts w:ascii="Adelle PE" w:hAnsi="Adelle PE"/>
                <w:b/>
                <w:sz w:val="32"/>
                <w:szCs w:val="32"/>
              </w:rPr>
              <w:t>Tangible action</w:t>
            </w:r>
          </w:p>
        </w:tc>
      </w:tr>
      <w:tr w:rsidR="003F7449" w:rsidRPr="003F7449" w14:paraId="667C1D8F" w14:textId="77777777" w:rsidTr="00CF3ED8">
        <w:trPr>
          <w:gridAfter w:val="1"/>
          <w:wAfter w:w="28" w:type="dxa"/>
          <w:trHeight w:val="510"/>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cPr>
          <w:p w14:paraId="1975540E" w14:textId="77777777" w:rsidR="003F7449" w:rsidRPr="003F7449" w:rsidRDefault="003F7449" w:rsidP="00C31D9E">
            <w:pPr>
              <w:rPr>
                <w:rFonts w:ascii="Adelle PE" w:hAnsi="Adelle PE"/>
                <w:sz w:val="28"/>
                <w:szCs w:val="28"/>
              </w:rPr>
            </w:pPr>
          </w:p>
        </w:tc>
        <w:tc>
          <w:tcPr>
            <w:tcW w:w="846" w:type="dxa"/>
            <w:tcBorders>
              <w:top w:val="nil"/>
              <w:left w:val="nil"/>
              <w:bottom w:val="nil"/>
              <w:right w:val="single" w:sz="4" w:space="0" w:color="auto"/>
            </w:tcBorders>
            <w:shd w:val="clear" w:color="auto" w:fill="BDD6EE" w:themeFill="accent1" w:themeFillTint="66"/>
          </w:tcPr>
          <w:p w14:paraId="63C1E8C9" w14:textId="17F12717" w:rsidR="003F7449" w:rsidRPr="003F7449" w:rsidRDefault="003F7449" w:rsidP="00C31D9E">
            <w:pPr>
              <w:rPr>
                <w:rFonts w:ascii="Adelle PE" w:hAnsi="Adelle PE"/>
                <w:sz w:val="28"/>
                <w:szCs w:val="28"/>
              </w:rPr>
            </w:pPr>
          </w:p>
        </w:tc>
        <w:tc>
          <w:tcPr>
            <w:tcW w:w="5386" w:type="dxa"/>
            <w:tcBorders>
              <w:left w:val="single" w:sz="4" w:space="0" w:color="auto"/>
            </w:tcBorders>
            <w:shd w:val="clear" w:color="auto" w:fill="BDD6EE" w:themeFill="accent1" w:themeFillTint="66"/>
            <w:vAlign w:val="center"/>
          </w:tcPr>
          <w:p w14:paraId="210C5E62" w14:textId="0B1FCEB2" w:rsidR="003F7449" w:rsidRPr="00EB4790" w:rsidRDefault="003F7449" w:rsidP="00E168CF">
            <w:pPr>
              <w:jc w:val="center"/>
              <w:rPr>
                <w:rFonts w:ascii="Adelle PE" w:hAnsi="Adelle PE"/>
                <w:b/>
                <w:sz w:val="26"/>
                <w:szCs w:val="26"/>
              </w:rPr>
            </w:pPr>
            <w:r w:rsidRPr="00EB4790">
              <w:rPr>
                <w:rFonts w:ascii="Adelle PE" w:hAnsi="Adelle PE"/>
                <w:b/>
                <w:sz w:val="26"/>
                <w:szCs w:val="26"/>
              </w:rPr>
              <w:t>CAPTIVATING</w:t>
            </w:r>
          </w:p>
        </w:tc>
        <w:tc>
          <w:tcPr>
            <w:tcW w:w="8364" w:type="dxa"/>
            <w:tcBorders>
              <w:right w:val="single" w:sz="4" w:space="0" w:color="auto"/>
            </w:tcBorders>
            <w:shd w:val="clear" w:color="auto" w:fill="BDD6EE" w:themeFill="accent1" w:themeFillTint="66"/>
            <w:vAlign w:val="center"/>
          </w:tcPr>
          <w:p w14:paraId="728D96A3" w14:textId="4CE3BF34" w:rsidR="003F7449" w:rsidRPr="003F7449" w:rsidRDefault="00CD6D0D" w:rsidP="00594726">
            <w:pPr>
              <w:jc w:val="left"/>
              <w:rPr>
                <w:rFonts w:ascii="Adelle PE" w:hAnsi="Adelle PE"/>
              </w:rPr>
            </w:pPr>
            <w:r>
              <w:rPr>
                <w:rFonts w:ascii="Adelle PE" w:hAnsi="Adelle PE"/>
              </w:rPr>
              <w:t>e</w:t>
            </w:r>
            <w:r w:rsidR="003F7449" w:rsidRPr="003F7449">
              <w:rPr>
                <w:rFonts w:ascii="Adelle PE" w:hAnsi="Adelle PE"/>
              </w:rPr>
              <w:t>ntertaining, engaging, salient, storied</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3CD8DE88" w14:textId="77777777" w:rsidR="003F7449" w:rsidRPr="003F7449" w:rsidRDefault="003F7449" w:rsidP="00C31D9E">
            <w:pPr>
              <w:rPr>
                <w:rFonts w:ascii="Adelle PE" w:hAnsi="Adelle PE"/>
                <w:sz w:val="28"/>
                <w:szCs w:val="28"/>
              </w:rPr>
            </w:pPr>
          </w:p>
        </w:tc>
        <w:tc>
          <w:tcPr>
            <w:tcW w:w="4674" w:type="dxa"/>
            <w:tcBorders>
              <w:left w:val="single" w:sz="4" w:space="0" w:color="auto"/>
            </w:tcBorders>
            <w:shd w:val="clear" w:color="auto" w:fill="FFF2CC" w:themeFill="accent4" w:themeFillTint="33"/>
            <w:vAlign w:val="center"/>
          </w:tcPr>
          <w:p w14:paraId="66DDCFDC" w14:textId="407EBB04" w:rsidR="003F7449" w:rsidRPr="00EB4790" w:rsidRDefault="003F7449" w:rsidP="006B4DFA">
            <w:pPr>
              <w:jc w:val="center"/>
              <w:rPr>
                <w:rFonts w:ascii="Adelle PE" w:hAnsi="Adelle PE"/>
                <w:b/>
                <w:sz w:val="28"/>
                <w:szCs w:val="28"/>
              </w:rPr>
            </w:pPr>
            <w:r w:rsidRPr="00EB4790">
              <w:rPr>
                <w:rFonts w:ascii="Adelle PE" w:hAnsi="Adelle PE"/>
                <w:b/>
                <w:sz w:val="32"/>
                <w:szCs w:val="28"/>
              </w:rPr>
              <w:t>Tell the story</w:t>
            </w:r>
          </w:p>
        </w:tc>
      </w:tr>
      <w:tr w:rsidR="006B4DFA" w:rsidRPr="003F7449" w14:paraId="61726D75" w14:textId="77777777" w:rsidTr="00CF3ED8">
        <w:trPr>
          <w:gridAfter w:val="1"/>
          <w:wAfter w:w="28" w:type="dxa"/>
          <w:trHeight w:val="737"/>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cPr>
          <w:p w14:paraId="6D5D0E68" w14:textId="77777777" w:rsidR="006B4DFA" w:rsidRPr="003F7449" w:rsidRDefault="006B4DFA" w:rsidP="00C31D9E">
            <w:pPr>
              <w:rPr>
                <w:rFonts w:ascii="Adelle PE" w:hAnsi="Adelle PE"/>
                <w:sz w:val="28"/>
                <w:szCs w:val="28"/>
              </w:rPr>
            </w:pPr>
          </w:p>
        </w:tc>
        <w:tc>
          <w:tcPr>
            <w:tcW w:w="846" w:type="dxa"/>
            <w:tcBorders>
              <w:top w:val="nil"/>
              <w:left w:val="nil"/>
              <w:bottom w:val="single" w:sz="4" w:space="0" w:color="auto"/>
              <w:right w:val="single" w:sz="4" w:space="0" w:color="auto"/>
            </w:tcBorders>
            <w:shd w:val="clear" w:color="auto" w:fill="BDD6EE" w:themeFill="accent1" w:themeFillTint="66"/>
          </w:tcPr>
          <w:p w14:paraId="47966887" w14:textId="4526677D" w:rsidR="006B4DFA" w:rsidRPr="003F7449" w:rsidRDefault="006B4DFA" w:rsidP="00C31D9E">
            <w:pPr>
              <w:rPr>
                <w:rFonts w:ascii="Adelle PE" w:hAnsi="Adelle PE"/>
                <w:sz w:val="28"/>
                <w:szCs w:val="28"/>
              </w:rPr>
            </w:pPr>
          </w:p>
        </w:tc>
        <w:tc>
          <w:tcPr>
            <w:tcW w:w="5386" w:type="dxa"/>
            <w:tcBorders>
              <w:left w:val="single" w:sz="4" w:space="0" w:color="auto"/>
            </w:tcBorders>
            <w:shd w:val="clear" w:color="auto" w:fill="BDD6EE" w:themeFill="accent1" w:themeFillTint="66"/>
            <w:vAlign w:val="center"/>
          </w:tcPr>
          <w:p w14:paraId="7034E379" w14:textId="1EE5C13B" w:rsidR="006B4DFA" w:rsidRPr="00EB4790" w:rsidRDefault="006B4DFA" w:rsidP="00E168CF">
            <w:pPr>
              <w:jc w:val="center"/>
              <w:rPr>
                <w:rFonts w:ascii="Adelle PE" w:hAnsi="Adelle PE"/>
                <w:b/>
                <w:sz w:val="26"/>
                <w:szCs w:val="26"/>
              </w:rPr>
            </w:pPr>
            <w:r w:rsidRPr="00EB4790">
              <w:rPr>
                <w:rFonts w:ascii="Adelle PE" w:hAnsi="Adelle PE"/>
                <w:b/>
                <w:sz w:val="26"/>
                <w:szCs w:val="26"/>
              </w:rPr>
              <w:t>COMPREHENSIVE</w:t>
            </w:r>
          </w:p>
        </w:tc>
        <w:tc>
          <w:tcPr>
            <w:tcW w:w="8364" w:type="dxa"/>
            <w:tcBorders>
              <w:right w:val="single" w:sz="4" w:space="0" w:color="auto"/>
            </w:tcBorders>
            <w:shd w:val="clear" w:color="auto" w:fill="BDD6EE" w:themeFill="accent1" w:themeFillTint="66"/>
            <w:vAlign w:val="center"/>
          </w:tcPr>
          <w:p w14:paraId="38079065" w14:textId="4421EA41" w:rsidR="006B4DFA" w:rsidRPr="003F7449" w:rsidRDefault="00CD6D0D" w:rsidP="00594726">
            <w:pPr>
              <w:jc w:val="left"/>
              <w:rPr>
                <w:rFonts w:ascii="Adelle PE" w:hAnsi="Adelle PE"/>
              </w:rPr>
            </w:pPr>
            <w:r>
              <w:rPr>
                <w:rFonts w:ascii="Adelle PE" w:hAnsi="Adelle PE"/>
              </w:rPr>
              <w:t>e</w:t>
            </w:r>
            <w:r w:rsidR="006B4DFA" w:rsidRPr="003F7449">
              <w:rPr>
                <w:rFonts w:ascii="Adelle PE" w:hAnsi="Adelle PE"/>
              </w:rPr>
              <w:t>vidence-based, holistic, integrated and remember audiences don’t know what they don’t know</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153B3ADA" w14:textId="77777777" w:rsidR="006B4DFA" w:rsidRPr="003F7449" w:rsidRDefault="006B4DFA" w:rsidP="00C31D9E">
            <w:pPr>
              <w:rPr>
                <w:rFonts w:ascii="Adelle PE" w:hAnsi="Adelle PE"/>
                <w:sz w:val="28"/>
                <w:szCs w:val="28"/>
              </w:rPr>
            </w:pPr>
          </w:p>
        </w:tc>
        <w:tc>
          <w:tcPr>
            <w:tcW w:w="4674" w:type="dxa"/>
            <w:vMerge w:val="restart"/>
            <w:tcBorders>
              <w:left w:val="single" w:sz="4" w:space="0" w:color="auto"/>
            </w:tcBorders>
            <w:shd w:val="clear" w:color="auto" w:fill="FFF2CC" w:themeFill="accent4" w:themeFillTint="33"/>
            <w:vAlign w:val="center"/>
          </w:tcPr>
          <w:p w14:paraId="6352475D" w14:textId="2220736A" w:rsidR="006B4DFA" w:rsidRDefault="006B4DFA" w:rsidP="006B4DFA">
            <w:pPr>
              <w:jc w:val="center"/>
              <w:rPr>
                <w:rFonts w:ascii="Adelle PE" w:hAnsi="Adelle PE"/>
                <w:sz w:val="28"/>
                <w:szCs w:val="28"/>
              </w:rPr>
            </w:pPr>
            <w:r w:rsidRPr="006B4DFA">
              <w:rPr>
                <w:rFonts w:ascii="Adelle PE" w:hAnsi="Adelle PE"/>
              </w:rPr>
              <w:t>Make sure it’s</w:t>
            </w:r>
          </w:p>
          <w:p w14:paraId="22473DF4" w14:textId="51F85EB5" w:rsidR="006B4DFA" w:rsidRDefault="006B4DFA" w:rsidP="006B4DFA">
            <w:pPr>
              <w:jc w:val="center"/>
              <w:rPr>
                <w:rFonts w:ascii="Adelle PE" w:hAnsi="Adelle PE"/>
                <w:sz w:val="28"/>
                <w:szCs w:val="28"/>
              </w:rPr>
            </w:pPr>
            <w:r w:rsidRPr="00EB4790">
              <w:rPr>
                <w:rFonts w:ascii="Adelle PE" w:hAnsi="Adelle PE"/>
                <w:b/>
                <w:sz w:val="32"/>
                <w:szCs w:val="28"/>
              </w:rPr>
              <w:t>Theoretically robust</w:t>
            </w:r>
            <w:r w:rsidRPr="00EB4790">
              <w:rPr>
                <w:rFonts w:ascii="Adelle PE" w:hAnsi="Adelle PE"/>
                <w:sz w:val="32"/>
                <w:szCs w:val="28"/>
              </w:rPr>
              <w:t xml:space="preserve"> </w:t>
            </w:r>
            <w:r w:rsidRPr="006B4DFA">
              <w:rPr>
                <w:rFonts w:ascii="Adelle PE" w:hAnsi="Adelle PE"/>
              </w:rPr>
              <w:t>and</w:t>
            </w:r>
          </w:p>
          <w:p w14:paraId="1C4D6D9A" w14:textId="66889EF6" w:rsidR="006B4DFA" w:rsidRPr="00EB4790" w:rsidRDefault="006B4DFA" w:rsidP="006B4DFA">
            <w:pPr>
              <w:jc w:val="center"/>
              <w:rPr>
                <w:rFonts w:ascii="Adelle PE" w:hAnsi="Adelle PE"/>
                <w:b/>
                <w:sz w:val="28"/>
                <w:szCs w:val="28"/>
              </w:rPr>
            </w:pPr>
            <w:r w:rsidRPr="00EB4790">
              <w:rPr>
                <w:rFonts w:ascii="Adelle PE" w:hAnsi="Adelle PE"/>
                <w:b/>
                <w:sz w:val="32"/>
                <w:szCs w:val="28"/>
              </w:rPr>
              <w:t>The whole story</w:t>
            </w:r>
          </w:p>
        </w:tc>
      </w:tr>
      <w:tr w:rsidR="006B4DFA" w:rsidRPr="003F7449" w14:paraId="1C8F5326" w14:textId="77777777" w:rsidTr="00CF3ED8">
        <w:trPr>
          <w:gridAfter w:val="1"/>
          <w:wAfter w:w="28" w:type="dxa"/>
          <w:cantSplit/>
          <w:trHeight w:val="850"/>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extDirection w:val="btLr"/>
          </w:tcPr>
          <w:p w14:paraId="36C52C89" w14:textId="77777777" w:rsidR="006B4DFA" w:rsidRPr="003F7449" w:rsidRDefault="006B4DFA" w:rsidP="00C31D9E">
            <w:pPr>
              <w:ind w:left="113" w:right="113"/>
              <w:jc w:val="center"/>
              <w:rPr>
                <w:rFonts w:ascii="Adelle PE" w:hAnsi="Adelle PE"/>
                <w:sz w:val="28"/>
                <w:szCs w:val="28"/>
              </w:rPr>
            </w:pPr>
          </w:p>
        </w:tc>
        <w:tc>
          <w:tcPr>
            <w:tcW w:w="846" w:type="dxa"/>
            <w:vMerge w:val="restart"/>
            <w:tcBorders>
              <w:top w:val="single" w:sz="4" w:space="0" w:color="auto"/>
              <w:left w:val="single" w:sz="4" w:space="0" w:color="auto"/>
              <w:bottom w:val="single" w:sz="4" w:space="0" w:color="auto"/>
            </w:tcBorders>
            <w:shd w:val="clear" w:color="auto" w:fill="BDD6EE" w:themeFill="accent1" w:themeFillTint="66"/>
            <w:textDirection w:val="btLr"/>
            <w:vAlign w:val="center"/>
          </w:tcPr>
          <w:p w14:paraId="34F93920" w14:textId="25FEB07B" w:rsidR="006B4DFA" w:rsidRPr="00EB4790" w:rsidRDefault="006B4DFA" w:rsidP="00C31D9E">
            <w:pPr>
              <w:ind w:left="113" w:right="113"/>
              <w:jc w:val="center"/>
              <w:rPr>
                <w:rFonts w:ascii="Adelle PE" w:hAnsi="Adelle PE"/>
                <w:b/>
                <w:sz w:val="28"/>
                <w:szCs w:val="28"/>
              </w:rPr>
            </w:pPr>
            <w:r w:rsidRPr="00EB4790">
              <w:rPr>
                <w:rFonts w:ascii="Adelle PE" w:hAnsi="Adelle PE"/>
                <w:b/>
                <w:sz w:val="28"/>
                <w:szCs w:val="28"/>
              </w:rPr>
              <w:t>CONTEXTUALISED</w:t>
            </w:r>
          </w:p>
        </w:tc>
        <w:tc>
          <w:tcPr>
            <w:tcW w:w="5386" w:type="dxa"/>
            <w:shd w:val="clear" w:color="auto" w:fill="BDD6EE" w:themeFill="accent1" w:themeFillTint="66"/>
            <w:vAlign w:val="center"/>
          </w:tcPr>
          <w:p w14:paraId="58114A47" w14:textId="50A0EA7C" w:rsidR="006B4DFA" w:rsidRPr="00CD6D0D" w:rsidRDefault="006B4DFA" w:rsidP="00E168CF">
            <w:pPr>
              <w:jc w:val="center"/>
              <w:rPr>
                <w:rFonts w:ascii="Adelle PE" w:hAnsi="Adelle PE"/>
                <w:sz w:val="26"/>
                <w:szCs w:val="26"/>
              </w:rPr>
            </w:pPr>
            <w:r w:rsidRPr="00CD6D0D">
              <w:rPr>
                <w:rFonts w:ascii="Adelle PE" w:hAnsi="Adelle PE"/>
                <w:sz w:val="26"/>
                <w:szCs w:val="26"/>
              </w:rPr>
              <w:t xml:space="preserve">Communicates </w:t>
            </w:r>
            <w:r w:rsidRPr="00EB4790">
              <w:rPr>
                <w:rFonts w:ascii="Adelle PE" w:hAnsi="Adelle PE"/>
                <w:b/>
                <w:sz w:val="26"/>
                <w:szCs w:val="26"/>
              </w:rPr>
              <w:t>COMPLEXITY</w:t>
            </w:r>
          </w:p>
        </w:tc>
        <w:tc>
          <w:tcPr>
            <w:tcW w:w="8364" w:type="dxa"/>
            <w:tcBorders>
              <w:right w:val="single" w:sz="4" w:space="0" w:color="auto"/>
            </w:tcBorders>
            <w:shd w:val="clear" w:color="auto" w:fill="BDD6EE" w:themeFill="accent1" w:themeFillTint="66"/>
            <w:vAlign w:val="center"/>
          </w:tcPr>
          <w:p w14:paraId="2A5B74D7" w14:textId="27E04EB7" w:rsidR="006B4DFA" w:rsidRPr="003F7449" w:rsidRDefault="00CD6D0D" w:rsidP="00594726">
            <w:pPr>
              <w:jc w:val="left"/>
              <w:rPr>
                <w:rFonts w:ascii="Adelle PE" w:hAnsi="Adelle PE"/>
              </w:rPr>
            </w:pPr>
            <w:r>
              <w:rPr>
                <w:rFonts w:ascii="Adelle PE" w:hAnsi="Adelle PE"/>
              </w:rPr>
              <w:t>m</w:t>
            </w:r>
            <w:r w:rsidR="006B4DFA" w:rsidRPr="003F7449">
              <w:rPr>
                <w:rFonts w:ascii="Adelle PE" w:hAnsi="Adelle PE"/>
              </w:rPr>
              <w:t>ultiple perspectives, facts separated from frames, starting with a clear definition of goals</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119E16ED" w14:textId="77777777" w:rsidR="006B4DFA" w:rsidRPr="003F7449" w:rsidRDefault="006B4DFA" w:rsidP="00C31D9E">
            <w:pPr>
              <w:rPr>
                <w:rFonts w:ascii="Adelle PE" w:hAnsi="Adelle PE"/>
                <w:sz w:val="28"/>
                <w:szCs w:val="28"/>
              </w:rPr>
            </w:pPr>
          </w:p>
        </w:tc>
        <w:tc>
          <w:tcPr>
            <w:tcW w:w="4674" w:type="dxa"/>
            <w:vMerge/>
            <w:tcBorders>
              <w:left w:val="single" w:sz="4" w:space="0" w:color="auto"/>
            </w:tcBorders>
            <w:shd w:val="clear" w:color="auto" w:fill="FFF2CC" w:themeFill="accent4" w:themeFillTint="33"/>
            <w:vAlign w:val="center"/>
          </w:tcPr>
          <w:p w14:paraId="78E24C20" w14:textId="264CB47A" w:rsidR="006B4DFA" w:rsidRPr="003F7449" w:rsidRDefault="006B4DFA" w:rsidP="006B4DFA">
            <w:pPr>
              <w:jc w:val="center"/>
              <w:rPr>
                <w:rFonts w:ascii="Adelle PE" w:hAnsi="Adelle PE"/>
                <w:sz w:val="28"/>
                <w:szCs w:val="28"/>
              </w:rPr>
            </w:pPr>
          </w:p>
        </w:tc>
      </w:tr>
      <w:tr w:rsidR="006B4DFA" w:rsidRPr="003F7449" w14:paraId="5FEB0A12" w14:textId="77777777" w:rsidTr="00CF3ED8">
        <w:trPr>
          <w:gridAfter w:val="1"/>
          <w:wAfter w:w="28" w:type="dxa"/>
          <w:trHeight w:val="510"/>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cPr>
          <w:p w14:paraId="4F60AD94" w14:textId="77777777" w:rsidR="006B4DFA" w:rsidRPr="003F7449" w:rsidRDefault="006B4DFA" w:rsidP="00C31D9E">
            <w:pPr>
              <w:rPr>
                <w:rFonts w:ascii="Adelle PE" w:hAnsi="Adelle PE"/>
                <w:sz w:val="28"/>
                <w:szCs w:val="28"/>
              </w:rPr>
            </w:pPr>
          </w:p>
        </w:tc>
        <w:tc>
          <w:tcPr>
            <w:tcW w:w="846" w:type="dxa"/>
            <w:vMerge/>
            <w:tcBorders>
              <w:top w:val="single" w:sz="4" w:space="0" w:color="auto"/>
              <w:left w:val="single" w:sz="4" w:space="0" w:color="auto"/>
              <w:bottom w:val="single" w:sz="4" w:space="0" w:color="auto"/>
            </w:tcBorders>
            <w:shd w:val="clear" w:color="auto" w:fill="BDD6EE" w:themeFill="accent1" w:themeFillTint="66"/>
          </w:tcPr>
          <w:p w14:paraId="26F3F5B2" w14:textId="454A530B" w:rsidR="006B4DFA" w:rsidRPr="003F7449" w:rsidRDefault="006B4DFA" w:rsidP="00C31D9E">
            <w:pPr>
              <w:rPr>
                <w:rFonts w:ascii="Adelle PE" w:hAnsi="Adelle PE"/>
                <w:sz w:val="28"/>
                <w:szCs w:val="28"/>
              </w:rPr>
            </w:pPr>
          </w:p>
        </w:tc>
        <w:tc>
          <w:tcPr>
            <w:tcW w:w="5386" w:type="dxa"/>
            <w:shd w:val="clear" w:color="auto" w:fill="BDD6EE" w:themeFill="accent1" w:themeFillTint="66"/>
            <w:vAlign w:val="center"/>
          </w:tcPr>
          <w:p w14:paraId="7825743E" w14:textId="318573BF" w:rsidR="006B4DFA" w:rsidRPr="00EB4790" w:rsidRDefault="006B4DFA" w:rsidP="00E168CF">
            <w:pPr>
              <w:jc w:val="center"/>
              <w:rPr>
                <w:rFonts w:ascii="Adelle PE" w:hAnsi="Adelle PE"/>
                <w:b/>
                <w:sz w:val="26"/>
                <w:szCs w:val="26"/>
              </w:rPr>
            </w:pPr>
            <w:r w:rsidRPr="00EB4790">
              <w:rPr>
                <w:rFonts w:ascii="Adelle PE" w:hAnsi="Adelle PE"/>
                <w:b/>
                <w:sz w:val="26"/>
                <w:szCs w:val="26"/>
              </w:rPr>
              <w:t>COMPARABLE</w:t>
            </w:r>
          </w:p>
        </w:tc>
        <w:tc>
          <w:tcPr>
            <w:tcW w:w="8364" w:type="dxa"/>
            <w:tcBorders>
              <w:right w:val="single" w:sz="4" w:space="0" w:color="auto"/>
            </w:tcBorders>
            <w:shd w:val="clear" w:color="auto" w:fill="BDD6EE" w:themeFill="accent1" w:themeFillTint="66"/>
            <w:vAlign w:val="center"/>
          </w:tcPr>
          <w:p w14:paraId="4FE972C5" w14:textId="206AA70A" w:rsidR="006B4DFA" w:rsidRPr="003F7449" w:rsidRDefault="00CD6D0D" w:rsidP="00594726">
            <w:pPr>
              <w:jc w:val="left"/>
              <w:rPr>
                <w:rFonts w:ascii="Adelle PE" w:hAnsi="Adelle PE"/>
              </w:rPr>
            </w:pPr>
            <w:r>
              <w:rPr>
                <w:rFonts w:ascii="Adelle PE" w:hAnsi="Adelle PE"/>
              </w:rPr>
              <w:t>p</w:t>
            </w:r>
            <w:r w:rsidR="006B4DFA" w:rsidRPr="003F7449">
              <w:rPr>
                <w:rFonts w:ascii="Adelle PE" w:hAnsi="Adelle PE"/>
              </w:rPr>
              <w:t>rovides a standard of comparison</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49E4E055" w14:textId="77777777" w:rsidR="006B4DFA" w:rsidRPr="003F7449" w:rsidRDefault="006B4DFA" w:rsidP="00C31D9E">
            <w:pPr>
              <w:rPr>
                <w:rFonts w:ascii="Adelle PE" w:hAnsi="Adelle PE"/>
                <w:sz w:val="28"/>
                <w:szCs w:val="28"/>
              </w:rPr>
            </w:pPr>
          </w:p>
        </w:tc>
        <w:tc>
          <w:tcPr>
            <w:tcW w:w="4674" w:type="dxa"/>
            <w:vMerge w:val="restart"/>
            <w:tcBorders>
              <w:left w:val="single" w:sz="4" w:space="0" w:color="auto"/>
            </w:tcBorders>
            <w:shd w:val="clear" w:color="auto" w:fill="FFF2CC" w:themeFill="accent4" w:themeFillTint="33"/>
            <w:vAlign w:val="center"/>
          </w:tcPr>
          <w:p w14:paraId="6F78F4FE" w14:textId="77777777" w:rsidR="006B4DFA" w:rsidRPr="00EB4790" w:rsidRDefault="006B4DFA" w:rsidP="006B4DFA">
            <w:pPr>
              <w:jc w:val="center"/>
              <w:rPr>
                <w:rFonts w:ascii="Adelle PE" w:hAnsi="Adelle PE"/>
                <w:b/>
                <w:sz w:val="32"/>
                <w:szCs w:val="28"/>
              </w:rPr>
            </w:pPr>
            <w:r w:rsidRPr="00EB4790">
              <w:rPr>
                <w:rFonts w:ascii="Adelle PE" w:hAnsi="Adelle PE"/>
                <w:b/>
                <w:sz w:val="32"/>
                <w:szCs w:val="28"/>
              </w:rPr>
              <w:t xml:space="preserve">Touch base </w:t>
            </w:r>
          </w:p>
          <w:p w14:paraId="6C7F04E1" w14:textId="0484A34A" w:rsidR="006B4DFA" w:rsidRPr="006B4DFA" w:rsidRDefault="006B4DFA" w:rsidP="006B4DFA">
            <w:pPr>
              <w:jc w:val="center"/>
              <w:rPr>
                <w:rFonts w:ascii="Adelle PE" w:hAnsi="Adelle PE"/>
              </w:rPr>
            </w:pPr>
            <w:r w:rsidRPr="006B4DFA">
              <w:rPr>
                <w:rFonts w:ascii="Adelle PE" w:hAnsi="Adelle PE"/>
              </w:rPr>
              <w:t>with the audience(s)</w:t>
            </w:r>
          </w:p>
        </w:tc>
      </w:tr>
      <w:tr w:rsidR="006B4DFA" w:rsidRPr="003F7449" w14:paraId="16E7ED57" w14:textId="77777777" w:rsidTr="00CF3ED8">
        <w:trPr>
          <w:gridAfter w:val="1"/>
          <w:wAfter w:w="28" w:type="dxa"/>
          <w:trHeight w:val="794"/>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cPr>
          <w:p w14:paraId="704EC30E" w14:textId="77777777" w:rsidR="006B4DFA" w:rsidRPr="003F7449" w:rsidRDefault="006B4DFA" w:rsidP="00C31D9E">
            <w:pPr>
              <w:rPr>
                <w:rFonts w:ascii="Adelle PE" w:hAnsi="Adelle PE"/>
                <w:sz w:val="28"/>
                <w:szCs w:val="28"/>
              </w:rPr>
            </w:pPr>
          </w:p>
        </w:tc>
        <w:tc>
          <w:tcPr>
            <w:tcW w:w="846" w:type="dxa"/>
            <w:vMerge/>
            <w:tcBorders>
              <w:top w:val="single" w:sz="4" w:space="0" w:color="auto"/>
              <w:left w:val="single" w:sz="4" w:space="0" w:color="auto"/>
              <w:bottom w:val="single" w:sz="4" w:space="0" w:color="auto"/>
            </w:tcBorders>
            <w:shd w:val="clear" w:color="auto" w:fill="BDD6EE" w:themeFill="accent1" w:themeFillTint="66"/>
          </w:tcPr>
          <w:p w14:paraId="2255A683" w14:textId="4AEFE5C6" w:rsidR="006B4DFA" w:rsidRPr="003F7449" w:rsidRDefault="006B4DFA" w:rsidP="00C31D9E">
            <w:pPr>
              <w:rPr>
                <w:rFonts w:ascii="Adelle PE" w:hAnsi="Adelle PE"/>
                <w:sz w:val="28"/>
                <w:szCs w:val="28"/>
              </w:rPr>
            </w:pPr>
          </w:p>
        </w:tc>
        <w:tc>
          <w:tcPr>
            <w:tcW w:w="5386" w:type="dxa"/>
            <w:shd w:val="clear" w:color="auto" w:fill="BDD6EE" w:themeFill="accent1" w:themeFillTint="66"/>
            <w:vAlign w:val="center"/>
          </w:tcPr>
          <w:p w14:paraId="4AE1A610" w14:textId="22279A38" w:rsidR="006B4DFA" w:rsidRPr="00CD6D0D" w:rsidRDefault="006B4DFA" w:rsidP="00E168CF">
            <w:pPr>
              <w:jc w:val="center"/>
              <w:rPr>
                <w:rFonts w:ascii="Adelle PE" w:hAnsi="Adelle PE"/>
                <w:sz w:val="26"/>
                <w:szCs w:val="26"/>
              </w:rPr>
            </w:pPr>
            <w:r w:rsidRPr="00CD6D0D">
              <w:rPr>
                <w:rFonts w:ascii="Adelle PE" w:hAnsi="Adelle PE"/>
                <w:sz w:val="26"/>
                <w:szCs w:val="26"/>
              </w:rPr>
              <w:t xml:space="preserve">Addresses </w:t>
            </w:r>
            <w:r w:rsidRPr="00EB4790">
              <w:rPr>
                <w:rFonts w:ascii="Adelle PE" w:hAnsi="Adelle PE"/>
                <w:b/>
                <w:sz w:val="26"/>
                <w:szCs w:val="26"/>
              </w:rPr>
              <w:t>CONCERNS</w:t>
            </w:r>
          </w:p>
        </w:tc>
        <w:tc>
          <w:tcPr>
            <w:tcW w:w="8364" w:type="dxa"/>
            <w:tcBorders>
              <w:right w:val="single" w:sz="4" w:space="0" w:color="auto"/>
            </w:tcBorders>
            <w:shd w:val="clear" w:color="auto" w:fill="BDD6EE" w:themeFill="accent1" w:themeFillTint="66"/>
            <w:vAlign w:val="center"/>
          </w:tcPr>
          <w:p w14:paraId="4DAC8FAD" w14:textId="6E196ABB" w:rsidR="006B4DFA" w:rsidRPr="003F7449" w:rsidRDefault="00CD6D0D" w:rsidP="00594726">
            <w:pPr>
              <w:jc w:val="left"/>
              <w:rPr>
                <w:rFonts w:ascii="Adelle PE" w:hAnsi="Adelle PE"/>
              </w:rPr>
            </w:pPr>
            <w:r>
              <w:rPr>
                <w:rFonts w:ascii="Adelle PE" w:hAnsi="Adelle PE"/>
              </w:rPr>
              <w:t>p</w:t>
            </w:r>
            <w:r w:rsidR="006B4DFA" w:rsidRPr="003F7449">
              <w:rPr>
                <w:rFonts w:ascii="Adelle PE" w:hAnsi="Adelle PE"/>
              </w:rPr>
              <w:t>rovides local context and considers audience(s) criticisms, values and information needs</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7010ADD8" w14:textId="77777777" w:rsidR="006B4DFA" w:rsidRPr="003F7449" w:rsidRDefault="006B4DFA" w:rsidP="00C31D9E">
            <w:pPr>
              <w:rPr>
                <w:rFonts w:ascii="Adelle PE" w:hAnsi="Adelle PE"/>
                <w:sz w:val="28"/>
                <w:szCs w:val="28"/>
              </w:rPr>
            </w:pPr>
          </w:p>
        </w:tc>
        <w:tc>
          <w:tcPr>
            <w:tcW w:w="4674" w:type="dxa"/>
            <w:vMerge/>
            <w:tcBorders>
              <w:left w:val="single" w:sz="4" w:space="0" w:color="auto"/>
            </w:tcBorders>
            <w:shd w:val="clear" w:color="auto" w:fill="FFF2CC" w:themeFill="accent4" w:themeFillTint="33"/>
            <w:vAlign w:val="center"/>
          </w:tcPr>
          <w:p w14:paraId="4AEA3B0B" w14:textId="77777777" w:rsidR="006B4DFA" w:rsidRPr="003F7449" w:rsidRDefault="006B4DFA" w:rsidP="006B4DFA">
            <w:pPr>
              <w:jc w:val="center"/>
              <w:rPr>
                <w:rFonts w:ascii="Adelle PE" w:hAnsi="Adelle PE"/>
                <w:sz w:val="28"/>
                <w:szCs w:val="28"/>
              </w:rPr>
            </w:pPr>
          </w:p>
        </w:tc>
      </w:tr>
      <w:tr w:rsidR="006B4DFA" w:rsidRPr="003F7449" w14:paraId="2B1605C0" w14:textId="77777777" w:rsidTr="00CF3ED8">
        <w:trPr>
          <w:gridAfter w:val="1"/>
          <w:wAfter w:w="28" w:type="dxa"/>
          <w:trHeight w:val="794"/>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cPr>
          <w:p w14:paraId="7BA854C4" w14:textId="77777777" w:rsidR="006B4DFA" w:rsidRPr="003F7449" w:rsidRDefault="006B4DFA" w:rsidP="00C31D9E">
            <w:pPr>
              <w:rPr>
                <w:rFonts w:ascii="Adelle PE" w:hAnsi="Adelle PE"/>
                <w:sz w:val="28"/>
                <w:szCs w:val="28"/>
              </w:rPr>
            </w:pPr>
          </w:p>
        </w:tc>
        <w:tc>
          <w:tcPr>
            <w:tcW w:w="846" w:type="dxa"/>
            <w:vMerge/>
            <w:tcBorders>
              <w:top w:val="single" w:sz="4" w:space="0" w:color="auto"/>
              <w:left w:val="single" w:sz="4" w:space="0" w:color="auto"/>
              <w:bottom w:val="single" w:sz="4" w:space="0" w:color="auto"/>
            </w:tcBorders>
            <w:shd w:val="clear" w:color="auto" w:fill="BDD6EE" w:themeFill="accent1" w:themeFillTint="66"/>
          </w:tcPr>
          <w:p w14:paraId="5A163834" w14:textId="189DE008" w:rsidR="006B4DFA" w:rsidRPr="003F7449" w:rsidRDefault="006B4DFA" w:rsidP="00C31D9E">
            <w:pPr>
              <w:rPr>
                <w:rFonts w:ascii="Adelle PE" w:hAnsi="Adelle PE"/>
                <w:sz w:val="28"/>
                <w:szCs w:val="28"/>
              </w:rPr>
            </w:pPr>
          </w:p>
        </w:tc>
        <w:tc>
          <w:tcPr>
            <w:tcW w:w="5386" w:type="dxa"/>
            <w:tcBorders>
              <w:bottom w:val="single" w:sz="4" w:space="0" w:color="000000" w:themeColor="text1"/>
            </w:tcBorders>
            <w:shd w:val="clear" w:color="auto" w:fill="BDD6EE" w:themeFill="accent1" w:themeFillTint="66"/>
            <w:vAlign w:val="center"/>
          </w:tcPr>
          <w:p w14:paraId="21770C3E" w14:textId="58E11B1B" w:rsidR="006B4DFA" w:rsidRPr="00CD6D0D" w:rsidRDefault="006B4DFA" w:rsidP="00E168CF">
            <w:pPr>
              <w:jc w:val="center"/>
              <w:rPr>
                <w:rFonts w:ascii="Adelle PE" w:hAnsi="Adelle PE"/>
                <w:sz w:val="26"/>
                <w:szCs w:val="26"/>
              </w:rPr>
            </w:pPr>
            <w:r w:rsidRPr="00CD6D0D">
              <w:rPr>
                <w:rFonts w:ascii="Adelle PE" w:hAnsi="Adelle PE"/>
                <w:sz w:val="26"/>
                <w:szCs w:val="26"/>
              </w:rPr>
              <w:t xml:space="preserve">Acknowledges </w:t>
            </w:r>
            <w:r w:rsidR="00EB4790" w:rsidRPr="00EB4790">
              <w:rPr>
                <w:rFonts w:ascii="Adelle PE" w:hAnsi="Adelle PE"/>
                <w:b/>
                <w:sz w:val="26"/>
                <w:szCs w:val="26"/>
              </w:rPr>
              <w:t>un</w:t>
            </w:r>
            <w:r w:rsidR="00EB4790">
              <w:rPr>
                <w:rFonts w:ascii="Adelle PE" w:hAnsi="Adelle PE"/>
                <w:b/>
                <w:sz w:val="26"/>
                <w:szCs w:val="26"/>
              </w:rPr>
              <w:t>CERTAINTIES</w:t>
            </w:r>
          </w:p>
        </w:tc>
        <w:tc>
          <w:tcPr>
            <w:tcW w:w="8364" w:type="dxa"/>
            <w:tcBorders>
              <w:right w:val="single" w:sz="4" w:space="0" w:color="auto"/>
            </w:tcBorders>
            <w:shd w:val="clear" w:color="auto" w:fill="BDD6EE" w:themeFill="accent1" w:themeFillTint="66"/>
            <w:vAlign w:val="center"/>
          </w:tcPr>
          <w:p w14:paraId="6F1D68D5" w14:textId="0FC8EF77" w:rsidR="006B4DFA" w:rsidRPr="003F7449" w:rsidRDefault="00CD6D0D" w:rsidP="00594726">
            <w:pPr>
              <w:jc w:val="left"/>
              <w:rPr>
                <w:rFonts w:ascii="Adelle PE" w:hAnsi="Adelle PE"/>
              </w:rPr>
            </w:pPr>
            <w:r>
              <w:rPr>
                <w:rFonts w:ascii="Adelle PE" w:hAnsi="Adelle PE"/>
              </w:rPr>
              <w:t>i</w:t>
            </w:r>
            <w:r w:rsidR="006B4DFA" w:rsidRPr="003F7449">
              <w:rPr>
                <w:rFonts w:ascii="Adelle PE" w:hAnsi="Adelle PE"/>
              </w:rPr>
              <w:t>s clear about what is certain and what is not; science is provisional knowledge, models have limitations, clarify uncertainty terminology</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564BAA10" w14:textId="77777777" w:rsidR="006B4DFA" w:rsidRPr="003F7449" w:rsidRDefault="006B4DFA" w:rsidP="00C31D9E">
            <w:pPr>
              <w:rPr>
                <w:rFonts w:ascii="Adelle PE" w:hAnsi="Adelle PE"/>
                <w:sz w:val="28"/>
                <w:szCs w:val="28"/>
              </w:rPr>
            </w:pPr>
          </w:p>
        </w:tc>
        <w:tc>
          <w:tcPr>
            <w:tcW w:w="4674" w:type="dxa"/>
            <w:vMerge w:val="restart"/>
            <w:tcBorders>
              <w:left w:val="single" w:sz="4" w:space="0" w:color="auto"/>
            </w:tcBorders>
            <w:shd w:val="clear" w:color="auto" w:fill="FFF2CC" w:themeFill="accent4" w:themeFillTint="33"/>
            <w:vAlign w:val="center"/>
          </w:tcPr>
          <w:p w14:paraId="2FC81D3A" w14:textId="44335D31" w:rsidR="006B4DFA" w:rsidRPr="00EB4790" w:rsidRDefault="006B4DFA" w:rsidP="006B4DFA">
            <w:pPr>
              <w:jc w:val="center"/>
              <w:rPr>
                <w:rFonts w:ascii="Adelle PE" w:hAnsi="Adelle PE"/>
                <w:b/>
                <w:sz w:val="28"/>
                <w:szCs w:val="28"/>
              </w:rPr>
            </w:pPr>
            <w:r w:rsidRPr="00EB4790">
              <w:rPr>
                <w:rFonts w:ascii="Adelle PE" w:hAnsi="Adelle PE"/>
                <w:b/>
                <w:sz w:val="32"/>
                <w:szCs w:val="28"/>
              </w:rPr>
              <w:t>Tell it like it is</w:t>
            </w:r>
          </w:p>
        </w:tc>
      </w:tr>
      <w:tr w:rsidR="006B4DFA" w:rsidRPr="003F7449" w14:paraId="14AAE53E" w14:textId="77777777" w:rsidTr="00CF3ED8">
        <w:trPr>
          <w:gridAfter w:val="1"/>
          <w:wAfter w:w="28" w:type="dxa"/>
          <w:trHeight w:val="454"/>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cPr>
          <w:p w14:paraId="4AD794FA" w14:textId="77777777" w:rsidR="006B4DFA" w:rsidRPr="003F7449" w:rsidRDefault="006B4DFA" w:rsidP="00C31D9E">
            <w:pPr>
              <w:rPr>
                <w:rFonts w:ascii="Adelle PE" w:hAnsi="Adelle PE"/>
                <w:sz w:val="28"/>
                <w:szCs w:val="28"/>
              </w:rPr>
            </w:pPr>
          </w:p>
        </w:tc>
        <w:tc>
          <w:tcPr>
            <w:tcW w:w="846" w:type="dxa"/>
            <w:vMerge w:val="restart"/>
            <w:tcBorders>
              <w:top w:val="single" w:sz="4" w:space="0" w:color="auto"/>
              <w:left w:val="nil"/>
              <w:bottom w:val="single" w:sz="4" w:space="0" w:color="auto"/>
              <w:right w:val="single" w:sz="4" w:space="0" w:color="auto"/>
            </w:tcBorders>
            <w:shd w:val="clear" w:color="auto" w:fill="BDD6EE" w:themeFill="accent1" w:themeFillTint="66"/>
          </w:tcPr>
          <w:p w14:paraId="7DE2C5D2" w14:textId="03C8D672" w:rsidR="006B4DFA" w:rsidRPr="003F7449" w:rsidRDefault="006B4DFA" w:rsidP="00C31D9E">
            <w:pPr>
              <w:rPr>
                <w:rFonts w:ascii="Adelle PE" w:hAnsi="Adelle PE"/>
                <w:sz w:val="28"/>
                <w:szCs w:val="28"/>
              </w:rPr>
            </w:pPr>
          </w:p>
        </w:tc>
        <w:tc>
          <w:tcPr>
            <w:tcW w:w="5386" w:type="dxa"/>
            <w:tcBorders>
              <w:left w:val="single" w:sz="4" w:space="0" w:color="auto"/>
            </w:tcBorders>
            <w:shd w:val="clear" w:color="auto" w:fill="BDD6EE" w:themeFill="accent1" w:themeFillTint="66"/>
            <w:vAlign w:val="center"/>
          </w:tcPr>
          <w:p w14:paraId="7FCBFD94" w14:textId="441AC4CD" w:rsidR="006B4DFA" w:rsidRPr="00EB4790" w:rsidRDefault="006B4DFA" w:rsidP="00E168CF">
            <w:pPr>
              <w:jc w:val="center"/>
              <w:rPr>
                <w:rFonts w:ascii="Adelle PE" w:hAnsi="Adelle PE"/>
                <w:b/>
                <w:sz w:val="26"/>
                <w:szCs w:val="26"/>
              </w:rPr>
            </w:pPr>
            <w:r w:rsidRPr="00EB4790">
              <w:rPr>
                <w:rFonts w:ascii="Adelle PE" w:hAnsi="Adelle PE"/>
                <w:b/>
                <w:sz w:val="26"/>
                <w:szCs w:val="26"/>
              </w:rPr>
              <w:t>CREDIBLE</w:t>
            </w:r>
          </w:p>
        </w:tc>
        <w:tc>
          <w:tcPr>
            <w:tcW w:w="8364" w:type="dxa"/>
            <w:tcBorders>
              <w:right w:val="single" w:sz="4" w:space="0" w:color="auto"/>
            </w:tcBorders>
            <w:shd w:val="clear" w:color="auto" w:fill="BDD6EE" w:themeFill="accent1" w:themeFillTint="66"/>
            <w:vAlign w:val="center"/>
          </w:tcPr>
          <w:p w14:paraId="4FCC0416" w14:textId="76A7B312" w:rsidR="006B4DFA" w:rsidRPr="003F7449" w:rsidRDefault="00CD6D0D" w:rsidP="00594726">
            <w:pPr>
              <w:jc w:val="left"/>
              <w:rPr>
                <w:rFonts w:ascii="Adelle PE" w:hAnsi="Adelle PE"/>
              </w:rPr>
            </w:pPr>
            <w:r>
              <w:rPr>
                <w:rFonts w:ascii="Adelle PE" w:hAnsi="Adelle PE"/>
              </w:rPr>
              <w:t>t</w:t>
            </w:r>
            <w:r w:rsidR="006B4DFA" w:rsidRPr="003F7449">
              <w:rPr>
                <w:rFonts w:ascii="Adelle PE" w:hAnsi="Adelle PE"/>
              </w:rPr>
              <w:t xml:space="preserve">ransparent, </w:t>
            </w:r>
            <w:r w:rsidRPr="003F7449">
              <w:rPr>
                <w:rFonts w:ascii="Adelle PE" w:hAnsi="Adelle PE"/>
              </w:rPr>
              <w:t>believable</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60C59A6E" w14:textId="77777777" w:rsidR="006B4DFA" w:rsidRPr="003F7449" w:rsidRDefault="006B4DFA" w:rsidP="00C31D9E">
            <w:pPr>
              <w:rPr>
                <w:rFonts w:ascii="Adelle PE" w:hAnsi="Adelle PE"/>
                <w:sz w:val="28"/>
                <w:szCs w:val="28"/>
              </w:rPr>
            </w:pPr>
          </w:p>
        </w:tc>
        <w:tc>
          <w:tcPr>
            <w:tcW w:w="4674" w:type="dxa"/>
            <w:vMerge/>
            <w:tcBorders>
              <w:left w:val="single" w:sz="4" w:space="0" w:color="auto"/>
            </w:tcBorders>
            <w:shd w:val="clear" w:color="auto" w:fill="FFF2CC" w:themeFill="accent4" w:themeFillTint="33"/>
            <w:vAlign w:val="center"/>
          </w:tcPr>
          <w:p w14:paraId="17C25105" w14:textId="77777777" w:rsidR="006B4DFA" w:rsidRPr="003F7449" w:rsidRDefault="006B4DFA" w:rsidP="006B4DFA">
            <w:pPr>
              <w:jc w:val="center"/>
              <w:rPr>
                <w:rFonts w:ascii="Adelle PE" w:hAnsi="Adelle PE"/>
                <w:sz w:val="28"/>
                <w:szCs w:val="28"/>
              </w:rPr>
            </w:pPr>
          </w:p>
        </w:tc>
      </w:tr>
      <w:tr w:rsidR="006B4DFA" w:rsidRPr="003F7449" w14:paraId="0805523D" w14:textId="77777777" w:rsidTr="00CF3ED8">
        <w:trPr>
          <w:gridAfter w:val="1"/>
          <w:wAfter w:w="28" w:type="dxa"/>
          <w:trHeight w:val="794"/>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cPr>
          <w:p w14:paraId="4B758D55" w14:textId="77777777" w:rsidR="006B4DFA" w:rsidRPr="003F7449" w:rsidRDefault="006B4DFA" w:rsidP="00C31D9E">
            <w:pPr>
              <w:rPr>
                <w:rFonts w:ascii="Adelle PE" w:hAnsi="Adelle PE"/>
                <w:sz w:val="28"/>
                <w:szCs w:val="28"/>
              </w:rPr>
            </w:pPr>
          </w:p>
        </w:tc>
        <w:tc>
          <w:tcPr>
            <w:tcW w:w="846" w:type="dxa"/>
            <w:vMerge/>
            <w:tcBorders>
              <w:top w:val="nil"/>
              <w:left w:val="nil"/>
              <w:bottom w:val="single" w:sz="4" w:space="0" w:color="auto"/>
              <w:right w:val="single" w:sz="4" w:space="0" w:color="auto"/>
            </w:tcBorders>
            <w:shd w:val="clear" w:color="auto" w:fill="BDD6EE" w:themeFill="accent1" w:themeFillTint="66"/>
          </w:tcPr>
          <w:p w14:paraId="4FE5F51D" w14:textId="4B7B1230" w:rsidR="006B4DFA" w:rsidRPr="003F7449" w:rsidRDefault="006B4DFA" w:rsidP="00C31D9E">
            <w:pPr>
              <w:rPr>
                <w:rFonts w:ascii="Adelle PE" w:hAnsi="Adelle PE"/>
                <w:sz w:val="28"/>
                <w:szCs w:val="28"/>
              </w:rPr>
            </w:pPr>
          </w:p>
        </w:tc>
        <w:tc>
          <w:tcPr>
            <w:tcW w:w="5386" w:type="dxa"/>
            <w:tcBorders>
              <w:left w:val="single" w:sz="4" w:space="0" w:color="auto"/>
            </w:tcBorders>
            <w:shd w:val="clear" w:color="auto" w:fill="BDD6EE" w:themeFill="accent1" w:themeFillTint="66"/>
            <w:vAlign w:val="center"/>
          </w:tcPr>
          <w:p w14:paraId="43F93AB8" w14:textId="79DDA967" w:rsidR="006B4DFA" w:rsidRPr="00CD6D0D" w:rsidRDefault="006B4DFA" w:rsidP="00E168CF">
            <w:pPr>
              <w:jc w:val="center"/>
              <w:rPr>
                <w:rFonts w:ascii="Adelle PE" w:hAnsi="Adelle PE"/>
                <w:sz w:val="26"/>
                <w:szCs w:val="26"/>
              </w:rPr>
            </w:pPr>
            <w:r w:rsidRPr="00EB4790">
              <w:rPr>
                <w:rFonts w:ascii="Adelle PE" w:hAnsi="Adelle PE"/>
                <w:b/>
                <w:sz w:val="26"/>
                <w:szCs w:val="26"/>
              </w:rPr>
              <w:t>COUNTERACTS</w:t>
            </w:r>
            <w:r w:rsidRPr="00CD6D0D">
              <w:rPr>
                <w:rFonts w:ascii="Adelle PE" w:hAnsi="Adelle PE"/>
                <w:sz w:val="26"/>
                <w:szCs w:val="26"/>
              </w:rPr>
              <w:t xml:space="preserve"> myths</w:t>
            </w:r>
          </w:p>
        </w:tc>
        <w:tc>
          <w:tcPr>
            <w:tcW w:w="8364" w:type="dxa"/>
            <w:tcBorders>
              <w:right w:val="single" w:sz="4" w:space="0" w:color="auto"/>
            </w:tcBorders>
            <w:shd w:val="clear" w:color="auto" w:fill="BDD6EE" w:themeFill="accent1" w:themeFillTint="66"/>
            <w:vAlign w:val="center"/>
          </w:tcPr>
          <w:p w14:paraId="4B4E6EDF" w14:textId="2C0E41D6" w:rsidR="006B4DFA" w:rsidRPr="003F7449" w:rsidRDefault="00CD6D0D" w:rsidP="00594726">
            <w:pPr>
              <w:jc w:val="left"/>
              <w:rPr>
                <w:rFonts w:ascii="Adelle PE" w:hAnsi="Adelle PE"/>
              </w:rPr>
            </w:pPr>
            <w:r>
              <w:rPr>
                <w:rFonts w:ascii="Adelle PE" w:hAnsi="Adelle PE"/>
              </w:rPr>
              <w:t>a</w:t>
            </w:r>
            <w:r w:rsidR="006B4DFA" w:rsidRPr="003F7449">
              <w:rPr>
                <w:rFonts w:ascii="Adelle PE" w:hAnsi="Adelle PE"/>
              </w:rPr>
              <w:t>ddresses topics and concerns that, having little evidence-basis doesn’t serve society well</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1B004C89" w14:textId="77777777" w:rsidR="006B4DFA" w:rsidRPr="003F7449" w:rsidRDefault="006B4DFA" w:rsidP="00C31D9E">
            <w:pPr>
              <w:rPr>
                <w:rFonts w:ascii="Adelle PE" w:hAnsi="Adelle PE"/>
                <w:sz w:val="28"/>
                <w:szCs w:val="28"/>
              </w:rPr>
            </w:pPr>
          </w:p>
        </w:tc>
        <w:tc>
          <w:tcPr>
            <w:tcW w:w="4674" w:type="dxa"/>
            <w:vMerge/>
            <w:tcBorders>
              <w:left w:val="single" w:sz="4" w:space="0" w:color="auto"/>
            </w:tcBorders>
            <w:shd w:val="clear" w:color="auto" w:fill="FFF2CC" w:themeFill="accent4" w:themeFillTint="33"/>
            <w:vAlign w:val="center"/>
          </w:tcPr>
          <w:p w14:paraId="7584F058" w14:textId="77777777" w:rsidR="006B4DFA" w:rsidRPr="003F7449" w:rsidRDefault="006B4DFA" w:rsidP="006B4DFA">
            <w:pPr>
              <w:jc w:val="center"/>
              <w:rPr>
                <w:rFonts w:ascii="Adelle PE" w:hAnsi="Adelle PE"/>
                <w:sz w:val="28"/>
                <w:szCs w:val="28"/>
              </w:rPr>
            </w:pPr>
          </w:p>
        </w:tc>
      </w:tr>
      <w:tr w:rsidR="006B4DFA" w:rsidRPr="003F7449" w14:paraId="18BCA86F" w14:textId="77777777" w:rsidTr="00CF3ED8">
        <w:trPr>
          <w:gridAfter w:val="1"/>
          <w:wAfter w:w="28" w:type="dxa"/>
          <w:trHeight w:val="454"/>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cPr>
          <w:p w14:paraId="7E2D5435" w14:textId="77777777" w:rsidR="006B4DFA" w:rsidRPr="003F7449" w:rsidRDefault="006B4DFA" w:rsidP="00C31D9E">
            <w:pPr>
              <w:rPr>
                <w:rFonts w:ascii="Adelle PE" w:hAnsi="Adelle PE"/>
                <w:sz w:val="28"/>
                <w:szCs w:val="28"/>
              </w:rPr>
            </w:pPr>
          </w:p>
        </w:tc>
        <w:tc>
          <w:tcPr>
            <w:tcW w:w="846" w:type="dxa"/>
            <w:vMerge/>
            <w:tcBorders>
              <w:top w:val="nil"/>
              <w:left w:val="nil"/>
              <w:bottom w:val="single" w:sz="4" w:space="0" w:color="auto"/>
              <w:right w:val="single" w:sz="4" w:space="0" w:color="auto"/>
            </w:tcBorders>
            <w:shd w:val="clear" w:color="auto" w:fill="BDD6EE" w:themeFill="accent1" w:themeFillTint="66"/>
          </w:tcPr>
          <w:p w14:paraId="45F6D08F" w14:textId="77BBE42C" w:rsidR="006B4DFA" w:rsidRPr="003F7449" w:rsidRDefault="006B4DFA" w:rsidP="00C31D9E">
            <w:pPr>
              <w:rPr>
                <w:rFonts w:ascii="Adelle PE" w:hAnsi="Adelle PE"/>
                <w:sz w:val="28"/>
                <w:szCs w:val="28"/>
              </w:rPr>
            </w:pPr>
          </w:p>
        </w:tc>
        <w:tc>
          <w:tcPr>
            <w:tcW w:w="5386" w:type="dxa"/>
            <w:tcBorders>
              <w:left w:val="single" w:sz="4" w:space="0" w:color="auto"/>
            </w:tcBorders>
            <w:shd w:val="clear" w:color="auto" w:fill="BDD6EE" w:themeFill="accent1" w:themeFillTint="66"/>
            <w:vAlign w:val="center"/>
          </w:tcPr>
          <w:p w14:paraId="28ABDB9D" w14:textId="34C72A3B" w:rsidR="006B4DFA" w:rsidRPr="00EB4790" w:rsidRDefault="006B4DFA" w:rsidP="00E168CF">
            <w:pPr>
              <w:jc w:val="center"/>
              <w:rPr>
                <w:rFonts w:ascii="Adelle PE" w:hAnsi="Adelle PE"/>
                <w:b/>
                <w:sz w:val="26"/>
                <w:szCs w:val="26"/>
              </w:rPr>
            </w:pPr>
            <w:r w:rsidRPr="00EB4790">
              <w:rPr>
                <w:rFonts w:ascii="Adelle PE" w:hAnsi="Adelle PE"/>
                <w:b/>
                <w:sz w:val="26"/>
                <w:szCs w:val="26"/>
              </w:rPr>
              <w:t>COMPREHENSIBLE</w:t>
            </w:r>
          </w:p>
        </w:tc>
        <w:tc>
          <w:tcPr>
            <w:tcW w:w="8364" w:type="dxa"/>
            <w:tcBorders>
              <w:right w:val="single" w:sz="4" w:space="0" w:color="auto"/>
            </w:tcBorders>
            <w:shd w:val="clear" w:color="auto" w:fill="BDD6EE" w:themeFill="accent1" w:themeFillTint="66"/>
            <w:vAlign w:val="center"/>
          </w:tcPr>
          <w:p w14:paraId="6414CB75" w14:textId="0C1BADDE" w:rsidR="006B4DFA" w:rsidRPr="003F7449" w:rsidRDefault="00CD6D0D" w:rsidP="00594726">
            <w:pPr>
              <w:jc w:val="left"/>
              <w:rPr>
                <w:rFonts w:ascii="Adelle PE" w:hAnsi="Adelle PE"/>
              </w:rPr>
            </w:pPr>
            <w:r>
              <w:rPr>
                <w:rFonts w:ascii="Adelle PE" w:hAnsi="Adelle PE"/>
              </w:rPr>
              <w:t>d</w:t>
            </w:r>
            <w:r w:rsidR="006B4DFA" w:rsidRPr="003F7449">
              <w:rPr>
                <w:rFonts w:ascii="Adelle PE" w:hAnsi="Adelle PE"/>
              </w:rPr>
              <w:t>oes not use jargon</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0CCE34E7" w14:textId="77777777" w:rsidR="006B4DFA" w:rsidRPr="003F7449" w:rsidRDefault="006B4DFA" w:rsidP="00C31D9E">
            <w:pPr>
              <w:rPr>
                <w:rFonts w:ascii="Adelle PE" w:hAnsi="Adelle PE"/>
                <w:sz w:val="28"/>
                <w:szCs w:val="28"/>
              </w:rPr>
            </w:pPr>
          </w:p>
        </w:tc>
        <w:tc>
          <w:tcPr>
            <w:tcW w:w="4674" w:type="dxa"/>
            <w:vMerge w:val="restart"/>
            <w:tcBorders>
              <w:left w:val="single" w:sz="4" w:space="0" w:color="auto"/>
            </w:tcBorders>
            <w:shd w:val="clear" w:color="auto" w:fill="FFF2CC" w:themeFill="accent4" w:themeFillTint="33"/>
            <w:vAlign w:val="center"/>
          </w:tcPr>
          <w:p w14:paraId="16CBE844" w14:textId="77777777" w:rsidR="006B4DFA" w:rsidRPr="00EB4790" w:rsidRDefault="006B4DFA" w:rsidP="006B4DFA">
            <w:pPr>
              <w:jc w:val="center"/>
              <w:rPr>
                <w:rFonts w:ascii="Adelle PE" w:hAnsi="Adelle PE"/>
                <w:b/>
                <w:sz w:val="32"/>
                <w:szCs w:val="28"/>
              </w:rPr>
            </w:pPr>
            <w:r w:rsidRPr="00EB4790">
              <w:rPr>
                <w:rFonts w:ascii="Adelle PE" w:hAnsi="Adelle PE"/>
                <w:b/>
                <w:sz w:val="32"/>
                <w:szCs w:val="28"/>
              </w:rPr>
              <w:t xml:space="preserve">Tell them what they </w:t>
            </w:r>
          </w:p>
          <w:p w14:paraId="5DD03CE3" w14:textId="0F4CF7D2" w:rsidR="006B4DFA" w:rsidRPr="003F7449" w:rsidRDefault="006B4DFA" w:rsidP="006B4DFA">
            <w:pPr>
              <w:jc w:val="center"/>
              <w:rPr>
                <w:rFonts w:ascii="Adelle PE" w:hAnsi="Adelle PE"/>
                <w:sz w:val="28"/>
                <w:szCs w:val="28"/>
              </w:rPr>
            </w:pPr>
            <w:r w:rsidRPr="00EB4790">
              <w:rPr>
                <w:rFonts w:ascii="Adelle PE" w:hAnsi="Adelle PE"/>
                <w:b/>
                <w:sz w:val="32"/>
                <w:szCs w:val="28"/>
              </w:rPr>
              <w:t>need to know</w:t>
            </w:r>
          </w:p>
        </w:tc>
      </w:tr>
      <w:tr w:rsidR="006B4DFA" w:rsidRPr="003F7449" w14:paraId="0A0ABAB2" w14:textId="77777777" w:rsidTr="00CF3ED8">
        <w:trPr>
          <w:gridAfter w:val="1"/>
          <w:wAfter w:w="28" w:type="dxa"/>
          <w:trHeight w:val="454"/>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cPr>
          <w:p w14:paraId="402C717F" w14:textId="77777777" w:rsidR="006B4DFA" w:rsidRPr="003F7449" w:rsidRDefault="006B4DFA" w:rsidP="00C31D9E">
            <w:pPr>
              <w:rPr>
                <w:rFonts w:ascii="Adelle PE" w:hAnsi="Adelle PE"/>
                <w:sz w:val="28"/>
                <w:szCs w:val="28"/>
              </w:rPr>
            </w:pPr>
          </w:p>
        </w:tc>
        <w:tc>
          <w:tcPr>
            <w:tcW w:w="846" w:type="dxa"/>
            <w:vMerge/>
            <w:tcBorders>
              <w:top w:val="nil"/>
              <w:left w:val="nil"/>
              <w:bottom w:val="single" w:sz="4" w:space="0" w:color="auto"/>
              <w:right w:val="single" w:sz="4" w:space="0" w:color="auto"/>
            </w:tcBorders>
            <w:shd w:val="clear" w:color="auto" w:fill="BDD6EE" w:themeFill="accent1" w:themeFillTint="66"/>
          </w:tcPr>
          <w:p w14:paraId="122856EF" w14:textId="2C046892" w:rsidR="006B4DFA" w:rsidRPr="003F7449" w:rsidRDefault="006B4DFA" w:rsidP="00C31D9E">
            <w:pPr>
              <w:rPr>
                <w:rFonts w:ascii="Adelle PE" w:hAnsi="Adelle PE"/>
                <w:sz w:val="28"/>
                <w:szCs w:val="28"/>
              </w:rPr>
            </w:pPr>
          </w:p>
        </w:tc>
        <w:tc>
          <w:tcPr>
            <w:tcW w:w="5386" w:type="dxa"/>
            <w:tcBorders>
              <w:left w:val="single" w:sz="4" w:space="0" w:color="auto"/>
            </w:tcBorders>
            <w:shd w:val="clear" w:color="auto" w:fill="BDD6EE" w:themeFill="accent1" w:themeFillTint="66"/>
            <w:vAlign w:val="center"/>
          </w:tcPr>
          <w:p w14:paraId="309BD363" w14:textId="76C17CD0" w:rsidR="006B4DFA" w:rsidRPr="00EB4790" w:rsidRDefault="006B4DFA" w:rsidP="00E168CF">
            <w:pPr>
              <w:jc w:val="center"/>
              <w:rPr>
                <w:rFonts w:ascii="Adelle PE" w:hAnsi="Adelle PE"/>
                <w:b/>
                <w:sz w:val="26"/>
                <w:szCs w:val="26"/>
              </w:rPr>
            </w:pPr>
            <w:r w:rsidRPr="00EB4790">
              <w:rPr>
                <w:rFonts w:ascii="Adelle PE" w:hAnsi="Adelle PE"/>
                <w:b/>
                <w:sz w:val="26"/>
                <w:szCs w:val="26"/>
              </w:rPr>
              <w:t>CONCISE</w:t>
            </w:r>
          </w:p>
        </w:tc>
        <w:tc>
          <w:tcPr>
            <w:tcW w:w="8364" w:type="dxa"/>
            <w:tcBorders>
              <w:right w:val="single" w:sz="4" w:space="0" w:color="auto"/>
            </w:tcBorders>
            <w:shd w:val="clear" w:color="auto" w:fill="BDD6EE" w:themeFill="accent1" w:themeFillTint="66"/>
            <w:vAlign w:val="center"/>
          </w:tcPr>
          <w:p w14:paraId="65093828" w14:textId="10A1D109" w:rsidR="006B4DFA" w:rsidRPr="003F7449" w:rsidRDefault="00CD6D0D" w:rsidP="00594726">
            <w:pPr>
              <w:jc w:val="left"/>
              <w:rPr>
                <w:rFonts w:ascii="Adelle PE" w:hAnsi="Adelle PE"/>
              </w:rPr>
            </w:pPr>
            <w:r>
              <w:rPr>
                <w:rFonts w:ascii="Adelle PE" w:hAnsi="Adelle PE"/>
              </w:rPr>
              <w:t>a</w:t>
            </w:r>
            <w:r w:rsidR="006B4DFA" w:rsidRPr="003F7449">
              <w:rPr>
                <w:rFonts w:ascii="Adelle PE" w:hAnsi="Adelle PE"/>
              </w:rPr>
              <w:t>voids superfluous information</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2DBC4367" w14:textId="77777777" w:rsidR="006B4DFA" w:rsidRPr="003F7449" w:rsidRDefault="006B4DFA" w:rsidP="00C31D9E">
            <w:pPr>
              <w:rPr>
                <w:rFonts w:ascii="Adelle PE" w:hAnsi="Adelle PE"/>
                <w:sz w:val="28"/>
                <w:szCs w:val="28"/>
              </w:rPr>
            </w:pPr>
          </w:p>
        </w:tc>
        <w:tc>
          <w:tcPr>
            <w:tcW w:w="4674" w:type="dxa"/>
            <w:vMerge/>
            <w:tcBorders>
              <w:left w:val="single" w:sz="4" w:space="0" w:color="auto"/>
            </w:tcBorders>
            <w:shd w:val="clear" w:color="auto" w:fill="FFF2CC" w:themeFill="accent4" w:themeFillTint="33"/>
            <w:vAlign w:val="center"/>
          </w:tcPr>
          <w:p w14:paraId="2A729D56" w14:textId="77777777" w:rsidR="006B4DFA" w:rsidRPr="003F7449" w:rsidRDefault="006B4DFA" w:rsidP="006B4DFA">
            <w:pPr>
              <w:jc w:val="center"/>
              <w:rPr>
                <w:rFonts w:ascii="Adelle PE" w:hAnsi="Adelle PE"/>
                <w:sz w:val="28"/>
                <w:szCs w:val="28"/>
              </w:rPr>
            </w:pPr>
          </w:p>
        </w:tc>
      </w:tr>
      <w:tr w:rsidR="006B4DFA" w:rsidRPr="003F7449" w14:paraId="7F6A7A6B" w14:textId="77777777" w:rsidTr="00CF3ED8">
        <w:trPr>
          <w:gridAfter w:val="1"/>
          <w:wAfter w:w="28" w:type="dxa"/>
          <w:trHeight w:val="510"/>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cPr>
          <w:p w14:paraId="307675E7" w14:textId="77777777" w:rsidR="006B4DFA" w:rsidRPr="003F7449" w:rsidRDefault="006B4DFA" w:rsidP="00C31D9E">
            <w:pPr>
              <w:rPr>
                <w:rFonts w:ascii="Adelle PE" w:hAnsi="Adelle PE"/>
                <w:sz w:val="28"/>
                <w:szCs w:val="28"/>
              </w:rPr>
            </w:pPr>
          </w:p>
        </w:tc>
        <w:tc>
          <w:tcPr>
            <w:tcW w:w="846" w:type="dxa"/>
            <w:vMerge/>
            <w:tcBorders>
              <w:top w:val="nil"/>
              <w:left w:val="nil"/>
              <w:bottom w:val="single" w:sz="4" w:space="0" w:color="auto"/>
              <w:right w:val="single" w:sz="4" w:space="0" w:color="auto"/>
            </w:tcBorders>
            <w:shd w:val="clear" w:color="auto" w:fill="BDD6EE" w:themeFill="accent1" w:themeFillTint="66"/>
          </w:tcPr>
          <w:p w14:paraId="14361DB9" w14:textId="040AE16B" w:rsidR="006B4DFA" w:rsidRPr="003F7449" w:rsidRDefault="006B4DFA" w:rsidP="00C31D9E">
            <w:pPr>
              <w:rPr>
                <w:rFonts w:ascii="Adelle PE" w:hAnsi="Adelle PE"/>
                <w:sz w:val="28"/>
                <w:szCs w:val="28"/>
              </w:rPr>
            </w:pPr>
          </w:p>
        </w:tc>
        <w:tc>
          <w:tcPr>
            <w:tcW w:w="5386" w:type="dxa"/>
            <w:tcBorders>
              <w:left w:val="single" w:sz="4" w:space="0" w:color="auto"/>
            </w:tcBorders>
            <w:shd w:val="clear" w:color="auto" w:fill="BDD6EE" w:themeFill="accent1" w:themeFillTint="66"/>
            <w:vAlign w:val="center"/>
          </w:tcPr>
          <w:p w14:paraId="7B1F0D0F" w14:textId="7E05BE21" w:rsidR="006B4DFA" w:rsidRPr="00EB4790" w:rsidRDefault="006B4DFA" w:rsidP="00E168CF">
            <w:pPr>
              <w:jc w:val="center"/>
              <w:rPr>
                <w:rFonts w:ascii="Adelle PE" w:hAnsi="Adelle PE"/>
                <w:b/>
                <w:sz w:val="26"/>
                <w:szCs w:val="26"/>
              </w:rPr>
            </w:pPr>
            <w:r w:rsidRPr="00EB4790">
              <w:rPr>
                <w:rFonts w:ascii="Adelle PE" w:hAnsi="Adelle PE"/>
                <w:b/>
                <w:sz w:val="26"/>
                <w:szCs w:val="26"/>
              </w:rPr>
              <w:t>CONFIRMABLE</w:t>
            </w:r>
          </w:p>
        </w:tc>
        <w:tc>
          <w:tcPr>
            <w:tcW w:w="8364" w:type="dxa"/>
            <w:tcBorders>
              <w:right w:val="single" w:sz="4" w:space="0" w:color="auto"/>
            </w:tcBorders>
            <w:shd w:val="clear" w:color="auto" w:fill="BDD6EE" w:themeFill="accent1" w:themeFillTint="66"/>
            <w:vAlign w:val="center"/>
          </w:tcPr>
          <w:p w14:paraId="7144E3E5" w14:textId="38FDD070" w:rsidR="006B4DFA" w:rsidRPr="003F7449" w:rsidRDefault="00722B95" w:rsidP="00594726">
            <w:pPr>
              <w:jc w:val="left"/>
              <w:rPr>
                <w:rFonts w:ascii="Adelle PE" w:hAnsi="Adelle PE"/>
              </w:rPr>
            </w:pPr>
            <w:r>
              <w:rPr>
                <w:rFonts w:ascii="Adelle PE" w:hAnsi="Adelle PE"/>
              </w:rPr>
              <w:t>able to be checked</w:t>
            </w:r>
            <w:r w:rsidRPr="003F7449">
              <w:rPr>
                <w:rFonts w:ascii="Adelle PE" w:hAnsi="Adelle PE"/>
              </w:rPr>
              <w:t xml:space="preserve"> </w:t>
            </w:r>
            <w:r w:rsidR="006B4DFA" w:rsidRPr="003F7449">
              <w:rPr>
                <w:rFonts w:ascii="Adelle PE" w:hAnsi="Adelle PE"/>
              </w:rPr>
              <w:t>– links to other information</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7AE7B44F" w14:textId="77777777" w:rsidR="006B4DFA" w:rsidRPr="003F7449" w:rsidRDefault="006B4DFA" w:rsidP="00C31D9E">
            <w:pPr>
              <w:rPr>
                <w:rFonts w:ascii="Adelle PE" w:hAnsi="Adelle PE"/>
                <w:sz w:val="28"/>
                <w:szCs w:val="28"/>
              </w:rPr>
            </w:pPr>
          </w:p>
        </w:tc>
        <w:tc>
          <w:tcPr>
            <w:tcW w:w="4674" w:type="dxa"/>
            <w:vMerge/>
            <w:tcBorders>
              <w:left w:val="single" w:sz="4" w:space="0" w:color="auto"/>
            </w:tcBorders>
            <w:shd w:val="clear" w:color="auto" w:fill="FFF2CC" w:themeFill="accent4" w:themeFillTint="33"/>
            <w:vAlign w:val="center"/>
          </w:tcPr>
          <w:p w14:paraId="25FD3F19" w14:textId="77777777" w:rsidR="006B4DFA" w:rsidRPr="003F7449" w:rsidRDefault="006B4DFA" w:rsidP="006B4DFA">
            <w:pPr>
              <w:jc w:val="center"/>
              <w:rPr>
                <w:rFonts w:ascii="Adelle PE" w:hAnsi="Adelle PE"/>
                <w:sz w:val="28"/>
                <w:szCs w:val="28"/>
              </w:rPr>
            </w:pPr>
          </w:p>
        </w:tc>
      </w:tr>
      <w:tr w:rsidR="003F7449" w:rsidRPr="003F7449" w14:paraId="4D6A845B" w14:textId="77777777" w:rsidTr="00CF3ED8">
        <w:trPr>
          <w:gridAfter w:val="1"/>
          <w:wAfter w:w="28" w:type="dxa"/>
          <w:trHeight w:val="680"/>
          <w:jc w:val="center"/>
        </w:trPr>
        <w:tc>
          <w:tcPr>
            <w:tcW w:w="846" w:type="dxa"/>
            <w:vMerge/>
            <w:tcBorders>
              <w:left w:val="single" w:sz="4" w:space="0" w:color="auto"/>
              <w:bottom w:val="single" w:sz="4" w:space="0" w:color="auto"/>
              <w:right w:val="single" w:sz="4" w:space="0" w:color="auto"/>
            </w:tcBorders>
            <w:shd w:val="clear" w:color="auto" w:fill="BDD6EE" w:themeFill="accent1" w:themeFillTint="66"/>
          </w:tcPr>
          <w:p w14:paraId="503081C8" w14:textId="77777777" w:rsidR="003F7449" w:rsidRPr="003F7449" w:rsidRDefault="003F7449" w:rsidP="00C31D9E">
            <w:pPr>
              <w:rPr>
                <w:rFonts w:ascii="Adelle PE" w:hAnsi="Adelle PE"/>
                <w:sz w:val="28"/>
                <w:szCs w:val="28"/>
              </w:rPr>
            </w:pPr>
          </w:p>
        </w:tc>
        <w:tc>
          <w:tcPr>
            <w:tcW w:w="846" w:type="dxa"/>
            <w:vMerge/>
            <w:tcBorders>
              <w:top w:val="nil"/>
              <w:left w:val="nil"/>
              <w:bottom w:val="single" w:sz="4" w:space="0" w:color="auto"/>
              <w:right w:val="single" w:sz="4" w:space="0" w:color="auto"/>
            </w:tcBorders>
            <w:shd w:val="clear" w:color="auto" w:fill="BDD6EE" w:themeFill="accent1" w:themeFillTint="66"/>
          </w:tcPr>
          <w:p w14:paraId="3EDD22C5" w14:textId="4B95E2F4" w:rsidR="003F7449" w:rsidRPr="003F7449" w:rsidRDefault="003F7449" w:rsidP="00C31D9E">
            <w:pPr>
              <w:rPr>
                <w:rFonts w:ascii="Adelle PE" w:hAnsi="Adelle PE"/>
                <w:sz w:val="28"/>
                <w:szCs w:val="28"/>
              </w:rPr>
            </w:pPr>
          </w:p>
        </w:tc>
        <w:tc>
          <w:tcPr>
            <w:tcW w:w="5386" w:type="dxa"/>
            <w:tcBorders>
              <w:left w:val="single" w:sz="4" w:space="0" w:color="auto"/>
            </w:tcBorders>
            <w:shd w:val="clear" w:color="auto" w:fill="BDD6EE" w:themeFill="accent1" w:themeFillTint="66"/>
            <w:vAlign w:val="center"/>
          </w:tcPr>
          <w:p w14:paraId="448BB4AF" w14:textId="523D1E0B" w:rsidR="003F7449" w:rsidRPr="00EB4790" w:rsidRDefault="003F7449" w:rsidP="00E168CF">
            <w:pPr>
              <w:jc w:val="center"/>
              <w:rPr>
                <w:rFonts w:ascii="Adelle PE" w:hAnsi="Adelle PE"/>
                <w:b/>
                <w:sz w:val="26"/>
                <w:szCs w:val="26"/>
              </w:rPr>
            </w:pPr>
            <w:r w:rsidRPr="00EB4790">
              <w:rPr>
                <w:rFonts w:ascii="Adelle PE" w:hAnsi="Adelle PE"/>
                <w:b/>
                <w:sz w:val="26"/>
                <w:szCs w:val="26"/>
              </w:rPr>
              <w:t>CONCRETE</w:t>
            </w:r>
          </w:p>
        </w:tc>
        <w:tc>
          <w:tcPr>
            <w:tcW w:w="8364" w:type="dxa"/>
            <w:tcBorders>
              <w:right w:val="single" w:sz="4" w:space="0" w:color="auto"/>
            </w:tcBorders>
            <w:shd w:val="clear" w:color="auto" w:fill="BDD6EE" w:themeFill="accent1" w:themeFillTint="66"/>
            <w:vAlign w:val="center"/>
          </w:tcPr>
          <w:p w14:paraId="3E9F849A" w14:textId="303271E9" w:rsidR="003F7449" w:rsidRPr="003F7449" w:rsidRDefault="00CD6D0D" w:rsidP="00594726">
            <w:pPr>
              <w:jc w:val="left"/>
              <w:rPr>
                <w:rFonts w:ascii="Adelle PE" w:hAnsi="Adelle PE"/>
              </w:rPr>
            </w:pPr>
            <w:r>
              <w:rPr>
                <w:rFonts w:ascii="Adelle PE" w:hAnsi="Adelle PE"/>
              </w:rPr>
              <w:t>a</w:t>
            </w:r>
            <w:r w:rsidR="003F7449" w:rsidRPr="003F7449">
              <w:rPr>
                <w:rFonts w:ascii="Adelle PE" w:hAnsi="Adelle PE"/>
              </w:rPr>
              <w:t>dvice linked to evidence-based information about solutions, actions and responsibilities</w:t>
            </w:r>
          </w:p>
        </w:tc>
        <w:tc>
          <w:tcPr>
            <w:tcW w:w="992" w:type="dxa"/>
            <w:vMerge/>
            <w:tcBorders>
              <w:top w:val="nil"/>
              <w:left w:val="single" w:sz="4" w:space="0" w:color="auto"/>
              <w:bottom w:val="single" w:sz="4" w:space="0" w:color="auto"/>
              <w:right w:val="single" w:sz="4" w:space="0" w:color="auto"/>
            </w:tcBorders>
            <w:shd w:val="clear" w:color="auto" w:fill="BDD6EE" w:themeFill="accent1" w:themeFillTint="66"/>
          </w:tcPr>
          <w:p w14:paraId="08AED86C" w14:textId="77777777" w:rsidR="003F7449" w:rsidRPr="003F7449" w:rsidRDefault="003F7449" w:rsidP="00C31D9E">
            <w:pPr>
              <w:rPr>
                <w:rFonts w:ascii="Adelle PE" w:hAnsi="Adelle PE"/>
                <w:sz w:val="28"/>
                <w:szCs w:val="28"/>
              </w:rPr>
            </w:pPr>
          </w:p>
        </w:tc>
        <w:tc>
          <w:tcPr>
            <w:tcW w:w="4674" w:type="dxa"/>
            <w:tcBorders>
              <w:left w:val="single" w:sz="4" w:space="0" w:color="auto"/>
            </w:tcBorders>
            <w:shd w:val="clear" w:color="auto" w:fill="FFF2CC" w:themeFill="accent4" w:themeFillTint="33"/>
            <w:vAlign w:val="center"/>
          </w:tcPr>
          <w:p w14:paraId="36B15DDC" w14:textId="4C2701B8" w:rsidR="003F7449" w:rsidRPr="00A5496E" w:rsidRDefault="00722B95" w:rsidP="00722B95">
            <w:pPr>
              <w:jc w:val="center"/>
              <w:rPr>
                <w:rFonts w:ascii="Adelle PE" w:hAnsi="Adelle PE"/>
                <w:sz w:val="32"/>
                <w:szCs w:val="32"/>
              </w:rPr>
            </w:pPr>
            <w:r>
              <w:rPr>
                <w:rFonts w:ascii="Adelle PE" w:hAnsi="Adelle PE"/>
                <w:b/>
                <w:sz w:val="32"/>
                <w:szCs w:val="32"/>
              </w:rPr>
              <w:t>(</w:t>
            </w:r>
            <w:r w:rsidR="003F7449" w:rsidRPr="00FB002D">
              <w:rPr>
                <w:rFonts w:ascii="Adelle PE" w:hAnsi="Adelle PE"/>
                <w:b/>
                <w:sz w:val="32"/>
                <w:szCs w:val="32"/>
              </w:rPr>
              <w:t>Tangible action</w:t>
            </w:r>
            <w:r>
              <w:rPr>
                <w:rFonts w:ascii="Adelle PE" w:hAnsi="Adelle PE"/>
                <w:b/>
                <w:sz w:val="32"/>
                <w:szCs w:val="32"/>
              </w:rPr>
              <w:t xml:space="preserve">) </w:t>
            </w:r>
            <w:r>
              <w:rPr>
                <w:rFonts w:ascii="Adelle PE" w:hAnsi="Adelle PE"/>
              </w:rPr>
              <w:t>as above</w:t>
            </w:r>
          </w:p>
        </w:tc>
      </w:tr>
    </w:tbl>
    <w:p w14:paraId="0730CBAB" w14:textId="0D55D01A" w:rsidR="00E64DE0" w:rsidRPr="00A5496E" w:rsidRDefault="00682A0D" w:rsidP="00A5496E">
      <w:pPr>
        <w:spacing w:before="120"/>
        <w:ind w:left="567" w:right="683"/>
        <w:rPr>
          <w:rFonts w:ascii="Adelle PE" w:hAnsi="Adelle PE"/>
          <w:i/>
          <w:szCs w:val="22"/>
        </w:rPr>
      </w:pPr>
      <w:r w:rsidRPr="00F547CB">
        <w:rPr>
          <w:rFonts w:ascii="Adelle PE" w:hAnsi="Adelle PE"/>
          <w:i/>
          <w:szCs w:val="22"/>
        </w:rPr>
        <w:t xml:space="preserve">Sixteen key features of ‘effective’ science- and risk communication beginning with the letter ‘C’ (16Cs) are shown in the first to third and fifth columns. </w:t>
      </w:r>
      <w:r w:rsidR="00722B95" w:rsidRPr="00F547CB">
        <w:rPr>
          <w:rFonts w:ascii="Adelle PE" w:hAnsi="Adelle PE"/>
          <w:i/>
          <w:szCs w:val="22"/>
        </w:rPr>
        <w:t>These key features are applicable to a story of only a few sentences in length, such as a short television interview, a print news story, a book, or an evening of public consultation.</w:t>
      </w:r>
      <w:r w:rsidR="00722B95">
        <w:rPr>
          <w:rFonts w:ascii="Adelle PE" w:hAnsi="Adelle PE"/>
          <w:i/>
          <w:szCs w:val="22"/>
        </w:rPr>
        <w:softHyphen/>
      </w:r>
      <w:r w:rsidR="00722B95">
        <w:rPr>
          <w:rFonts w:ascii="Adelle PE" w:hAnsi="Adelle PE"/>
          <w:i/>
          <w:szCs w:val="22"/>
        </w:rPr>
        <w:softHyphen/>
      </w:r>
      <w:r w:rsidR="00A5496E">
        <w:rPr>
          <w:rFonts w:ascii="Adelle PE" w:hAnsi="Adelle PE"/>
          <w:i/>
          <w:szCs w:val="22"/>
        </w:rPr>
        <w:t xml:space="preserve"> </w:t>
      </w:r>
      <w:r w:rsidR="005B29C3">
        <w:rPr>
          <w:rFonts w:ascii="Adelle PE" w:hAnsi="Adelle PE"/>
          <w:i/>
          <w:szCs w:val="22"/>
        </w:rPr>
        <w:t>Column six includes s</w:t>
      </w:r>
      <w:r w:rsidRPr="00F547CB">
        <w:rPr>
          <w:rFonts w:ascii="Adelle PE" w:hAnsi="Adelle PE"/>
          <w:i/>
          <w:szCs w:val="22"/>
        </w:rPr>
        <w:t>even elements beginning with the letter ‘T’ that together exemplify ‘best-practice’ to define a strategy (7Ts) for DRR-commun</w:t>
      </w:r>
      <w:r w:rsidR="005B29C3">
        <w:rPr>
          <w:rFonts w:ascii="Adelle PE" w:hAnsi="Adelle PE"/>
          <w:i/>
          <w:szCs w:val="22"/>
        </w:rPr>
        <w:t>ication influenced by the 16Cs (</w:t>
      </w:r>
      <w:r w:rsidR="00722B95">
        <w:rPr>
          <w:rFonts w:ascii="Adelle PE" w:hAnsi="Adelle PE"/>
          <w:i/>
          <w:szCs w:val="22"/>
        </w:rPr>
        <w:t xml:space="preserve">after </w:t>
      </w:r>
      <w:r w:rsidRPr="00F547CB">
        <w:rPr>
          <w:rFonts w:ascii="Adelle PE" w:hAnsi="Adelle PE"/>
          <w:i/>
          <w:szCs w:val="22"/>
        </w:rPr>
        <w:t>Weingart et al. (2000) and Miller (2008)</w:t>
      </w:r>
      <w:r w:rsidR="005B29C3">
        <w:rPr>
          <w:rFonts w:ascii="Adelle PE" w:hAnsi="Adelle PE"/>
          <w:i/>
          <w:szCs w:val="22"/>
        </w:rPr>
        <w:t>)</w:t>
      </w:r>
      <w:r w:rsidRPr="00F547CB">
        <w:rPr>
          <w:rFonts w:ascii="Adelle PE" w:hAnsi="Adelle PE"/>
          <w:i/>
          <w:szCs w:val="22"/>
        </w:rPr>
        <w:t>. The 7Ts also include recommendations for communicating risk fro</w:t>
      </w:r>
      <w:r w:rsidR="002554FF" w:rsidRPr="00F547CB">
        <w:rPr>
          <w:rFonts w:ascii="Adelle PE" w:hAnsi="Adelle PE"/>
          <w:i/>
          <w:szCs w:val="22"/>
        </w:rPr>
        <w:t>m</w:t>
      </w:r>
      <w:r w:rsidR="00722B95">
        <w:rPr>
          <w:rFonts w:ascii="Adelle PE" w:hAnsi="Adelle PE"/>
          <w:i/>
          <w:szCs w:val="22"/>
        </w:rPr>
        <w:t xml:space="preserve"> other literature</w:t>
      </w:r>
      <w:r w:rsidR="002554FF" w:rsidRPr="00F547CB">
        <w:rPr>
          <w:rFonts w:ascii="Adelle PE" w:hAnsi="Adelle PE"/>
          <w:i/>
          <w:szCs w:val="22"/>
        </w:rPr>
        <w:t xml:space="preserve"> </w:t>
      </w:r>
      <w:r w:rsidR="00722B95">
        <w:rPr>
          <w:rFonts w:ascii="Adelle PE" w:hAnsi="Adelle PE"/>
          <w:i/>
          <w:szCs w:val="22"/>
        </w:rPr>
        <w:t xml:space="preserve">including </w:t>
      </w:r>
      <w:r w:rsidR="002554FF" w:rsidRPr="00F547CB">
        <w:rPr>
          <w:rFonts w:ascii="Adelle PE" w:hAnsi="Adelle PE"/>
          <w:i/>
          <w:szCs w:val="22"/>
        </w:rPr>
        <w:t>Amberg and Hall (2010) and</w:t>
      </w:r>
      <w:r w:rsidRPr="00F547CB">
        <w:rPr>
          <w:rFonts w:ascii="Adelle PE" w:hAnsi="Adelle PE"/>
          <w:i/>
          <w:szCs w:val="22"/>
        </w:rPr>
        <w:t xml:space="preserve"> Fishe</w:t>
      </w:r>
      <w:r w:rsidR="002554FF" w:rsidRPr="00F547CB">
        <w:rPr>
          <w:rFonts w:ascii="Adelle PE" w:hAnsi="Adelle PE"/>
          <w:i/>
          <w:szCs w:val="22"/>
        </w:rPr>
        <w:t>r (1999)</w:t>
      </w:r>
      <w:r w:rsidRPr="00F547CB">
        <w:rPr>
          <w:rFonts w:ascii="Adelle PE" w:hAnsi="Adelle PE"/>
          <w:i/>
          <w:szCs w:val="22"/>
        </w:rPr>
        <w:t xml:space="preserve">. </w:t>
      </w:r>
    </w:p>
    <w:p w14:paraId="4D68B87E" w14:textId="6A39320F" w:rsidR="00F41F7C" w:rsidRPr="00F547CB" w:rsidRDefault="00F41F7C" w:rsidP="00C940B3">
      <w:pPr>
        <w:spacing w:before="240"/>
        <w:rPr>
          <w:rFonts w:ascii="Adelle PE" w:hAnsi="Adelle PE"/>
          <w:b/>
          <w:szCs w:val="22"/>
        </w:rPr>
      </w:pPr>
      <w:r w:rsidRPr="00F547CB">
        <w:rPr>
          <w:rFonts w:ascii="Adelle PE" w:hAnsi="Adelle PE"/>
          <w:b/>
          <w:szCs w:val="22"/>
        </w:rPr>
        <w:t>Primary source:</w:t>
      </w:r>
      <w:r w:rsidRPr="00F547CB">
        <w:rPr>
          <w:rFonts w:ascii="Adelle PE" w:hAnsi="Adelle PE"/>
          <w:szCs w:val="22"/>
        </w:rPr>
        <w:t xml:space="preserve"> Bryner</w:t>
      </w:r>
      <w:r w:rsidR="00F248C0">
        <w:rPr>
          <w:rFonts w:ascii="Adelle PE" w:hAnsi="Adelle PE"/>
          <w:szCs w:val="22"/>
        </w:rPr>
        <w:t xml:space="preserve">, V. </w:t>
      </w:r>
      <w:r w:rsidR="002554FF" w:rsidRPr="00F547CB">
        <w:rPr>
          <w:rFonts w:ascii="Adelle PE" w:hAnsi="Adelle PE"/>
          <w:szCs w:val="22"/>
        </w:rPr>
        <w:t>(2016</w:t>
      </w:r>
      <w:r w:rsidRPr="00F547CB">
        <w:rPr>
          <w:rFonts w:ascii="Adelle PE" w:hAnsi="Adelle PE"/>
          <w:szCs w:val="22"/>
        </w:rPr>
        <w:t>) Communicating the Science of Earthquake-related Disaster Risk Reduction: Stories Surrounding the Canterbury Earthquakes, Unpublished PhD Thesis, University of Otago</w:t>
      </w:r>
      <w:r w:rsidR="00452DDF" w:rsidRPr="00F547CB">
        <w:rPr>
          <w:rFonts w:ascii="Adelle PE" w:hAnsi="Adelle PE"/>
          <w:szCs w:val="22"/>
        </w:rPr>
        <w:t xml:space="preserve">. </w:t>
      </w:r>
      <w:r w:rsidR="00722B95">
        <w:rPr>
          <w:rFonts w:ascii="Adelle PE" w:hAnsi="Adelle PE"/>
          <w:b/>
          <w:szCs w:val="22"/>
        </w:rPr>
        <w:t>Selected Other</w:t>
      </w:r>
      <w:r w:rsidR="00722B95" w:rsidRPr="00F547CB">
        <w:rPr>
          <w:rFonts w:ascii="Adelle PE" w:hAnsi="Adelle PE"/>
          <w:b/>
          <w:szCs w:val="22"/>
        </w:rPr>
        <w:t xml:space="preserve"> </w:t>
      </w:r>
      <w:r w:rsidR="00F547CB">
        <w:rPr>
          <w:rFonts w:ascii="Adelle PE" w:hAnsi="Adelle PE"/>
          <w:b/>
          <w:szCs w:val="22"/>
        </w:rPr>
        <w:t xml:space="preserve">References: </w:t>
      </w:r>
      <w:r w:rsidRPr="00F547CB">
        <w:rPr>
          <w:rFonts w:ascii="Adelle PE" w:hAnsi="Adelle PE"/>
          <w:szCs w:val="22"/>
        </w:rPr>
        <w:t>Amberg, S. M., &amp; Hall, T. E. (2010). Precision and rhetoric in media reporting about contamination in farmed salmon. Science Communication</w:t>
      </w:r>
      <w:r w:rsidR="00452DDF" w:rsidRPr="00F547CB">
        <w:rPr>
          <w:rFonts w:ascii="Adelle PE" w:hAnsi="Adelle PE"/>
          <w:szCs w:val="22"/>
        </w:rPr>
        <w:t xml:space="preserve">; </w:t>
      </w:r>
      <w:r w:rsidRPr="00F547CB">
        <w:rPr>
          <w:rFonts w:ascii="Adelle PE" w:hAnsi="Adelle PE"/>
          <w:szCs w:val="22"/>
        </w:rPr>
        <w:t>Fisher, A., 1991, Risk Communication Challenges: Risk Ana</w:t>
      </w:r>
      <w:r w:rsidR="00452DDF" w:rsidRPr="00F547CB">
        <w:rPr>
          <w:rFonts w:ascii="Adelle PE" w:hAnsi="Adelle PE"/>
          <w:szCs w:val="22"/>
        </w:rPr>
        <w:t xml:space="preserve">lysis, v. 11, no. 2, p. 173–179; </w:t>
      </w:r>
      <w:r w:rsidR="002554FF" w:rsidRPr="00F547CB">
        <w:rPr>
          <w:rFonts w:ascii="Adelle PE" w:hAnsi="Adelle PE"/>
          <w:szCs w:val="22"/>
        </w:rPr>
        <w:t>Miller, S. (2008). So where’s the theory? On the relationship between science communication practice and research. In Communicating science in social contexts (pp.</w:t>
      </w:r>
      <w:r w:rsidR="00452DDF" w:rsidRPr="00F547CB">
        <w:rPr>
          <w:rFonts w:ascii="Adelle PE" w:hAnsi="Adelle PE"/>
          <w:szCs w:val="22"/>
        </w:rPr>
        <w:t xml:space="preserve"> 275-287). Springer Netherlands; </w:t>
      </w:r>
      <w:r w:rsidRPr="00F547CB">
        <w:rPr>
          <w:rFonts w:ascii="Adelle PE" w:hAnsi="Adelle PE"/>
          <w:szCs w:val="22"/>
        </w:rPr>
        <w:t>Weingart, P., A. Engels &amp; P. Pasengrau (2000) Risks of Communication: discourses on climate change in science, politics and the mass media Public Understanding of Science, 9, 261-283.</w:t>
      </w:r>
    </w:p>
    <w:sectPr w:rsidR="00F41F7C" w:rsidRPr="00F547CB" w:rsidSect="00E64DE0">
      <w:pgSz w:w="23811" w:h="16838" w:orient="landscape" w:code="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Yu Mincho">
    <w:altName w:val="游明朝"/>
    <w:panose1 w:val="00000000000000000000"/>
    <w:charset w:val="80"/>
    <w:family w:val="roman"/>
    <w:notTrueType/>
    <w:pitch w:val="default"/>
  </w:font>
  <w:font w:name="Times">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delle PE">
    <w:panose1 w:val="00000000000000000000"/>
    <w:charset w:val="00"/>
    <w:family w:val="modern"/>
    <w:notTrueType/>
    <w:pitch w:val="variable"/>
    <w:sig w:usb0="A00002AF" w:usb1="5000205B" w:usb2="00000000" w:usb3="00000000" w:csb0="00000097" w:csb1="00000000"/>
  </w:font>
  <w:font w:name="Baskerville Old Face">
    <w:panose1 w:val="02020602080505020303"/>
    <w:charset w:val="00"/>
    <w:family w:val="roman"/>
    <w:pitch w:val="variable"/>
    <w:sig w:usb0="00000003" w:usb1="00000000" w:usb2="00000000" w:usb3="00000000" w:csb0="0000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7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3B1"/>
    <w:rsid w:val="000D4203"/>
    <w:rsid w:val="000D58B1"/>
    <w:rsid w:val="000F2007"/>
    <w:rsid w:val="000F2E5B"/>
    <w:rsid w:val="0011602C"/>
    <w:rsid w:val="00196476"/>
    <w:rsid w:val="001D76AD"/>
    <w:rsid w:val="001E494F"/>
    <w:rsid w:val="001E5824"/>
    <w:rsid w:val="0022473C"/>
    <w:rsid w:val="002471FD"/>
    <w:rsid w:val="002554FF"/>
    <w:rsid w:val="002E2D95"/>
    <w:rsid w:val="0033475B"/>
    <w:rsid w:val="003F7449"/>
    <w:rsid w:val="00406712"/>
    <w:rsid w:val="00452DDF"/>
    <w:rsid w:val="00594726"/>
    <w:rsid w:val="005B29C3"/>
    <w:rsid w:val="00636E53"/>
    <w:rsid w:val="006514AD"/>
    <w:rsid w:val="00662E58"/>
    <w:rsid w:val="00682A0D"/>
    <w:rsid w:val="006B4DFA"/>
    <w:rsid w:val="00722B95"/>
    <w:rsid w:val="00772DF6"/>
    <w:rsid w:val="00796C04"/>
    <w:rsid w:val="00862ADE"/>
    <w:rsid w:val="008A5BDE"/>
    <w:rsid w:val="008A5C6F"/>
    <w:rsid w:val="00953A90"/>
    <w:rsid w:val="00A10AF4"/>
    <w:rsid w:val="00A5496E"/>
    <w:rsid w:val="00AA5383"/>
    <w:rsid w:val="00AE4819"/>
    <w:rsid w:val="00B405A7"/>
    <w:rsid w:val="00B47ACC"/>
    <w:rsid w:val="00BC43B1"/>
    <w:rsid w:val="00BF539B"/>
    <w:rsid w:val="00C31D9E"/>
    <w:rsid w:val="00C940B3"/>
    <w:rsid w:val="00CC01A1"/>
    <w:rsid w:val="00CD6D0D"/>
    <w:rsid w:val="00CF3ED8"/>
    <w:rsid w:val="00D53693"/>
    <w:rsid w:val="00DF59BE"/>
    <w:rsid w:val="00E168CF"/>
    <w:rsid w:val="00E64DE0"/>
    <w:rsid w:val="00EB4790"/>
    <w:rsid w:val="00F248C0"/>
    <w:rsid w:val="00F41F7C"/>
    <w:rsid w:val="00F547CB"/>
    <w:rsid w:val="00F85E48"/>
    <w:rsid w:val="00F93CCD"/>
    <w:rsid w:val="00FB002D"/>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89E83"/>
  <w15:docId w15:val="{B42FC389-B3F9-4793-BE6D-AED8D0A1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Calibri"/>
    <w:qFormat/>
    <w:rsid w:val="00BC43B1"/>
    <w:pPr>
      <w:autoSpaceDE w:val="0"/>
      <w:autoSpaceDN w:val="0"/>
      <w:spacing w:after="0" w:line="240" w:lineRule="auto"/>
      <w:jc w:val="both"/>
    </w:pPr>
    <w:rPr>
      <w:rFonts w:ascii="Times New Roman" w:eastAsiaTheme="minorEastAsia" w:hAnsi="Times New Roman"/>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PTable Grid,PhD Table Grid"/>
    <w:basedOn w:val="TableNormal"/>
    <w:uiPriority w:val="59"/>
    <w:rsid w:val="00BC43B1"/>
    <w:pPr>
      <w:spacing w:after="0" w:line="240" w:lineRule="auto"/>
    </w:pPr>
    <w:rPr>
      <w:sz w:val="24"/>
      <w:szCs w:val="24"/>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hDTableTextbold">
    <w:name w:val="PhD Table Text bold"/>
    <w:basedOn w:val="Normal"/>
    <w:autoRedefine/>
    <w:qFormat/>
    <w:rsid w:val="00BC43B1"/>
    <w:pPr>
      <w:autoSpaceDE/>
      <w:autoSpaceDN/>
      <w:ind w:right="-108"/>
      <w:jc w:val="center"/>
    </w:pPr>
    <w:rPr>
      <w:rFonts w:eastAsia="Times" w:cs="Times New Roman"/>
      <w:b/>
      <w:szCs w:val="22"/>
      <w:lang w:val="en-GB" w:eastAsia="ja-JP"/>
    </w:rPr>
  </w:style>
  <w:style w:type="paragraph" w:styleId="BalloonText">
    <w:name w:val="Balloon Text"/>
    <w:basedOn w:val="Normal"/>
    <w:link w:val="BalloonTextChar"/>
    <w:uiPriority w:val="99"/>
    <w:semiHidden/>
    <w:unhideWhenUsed/>
    <w:rsid w:val="00BC43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43B1"/>
    <w:rPr>
      <w:rFonts w:ascii="Segoe UI" w:eastAsiaTheme="minorEastAsia" w:hAnsi="Segoe UI" w:cs="Segoe UI"/>
      <w:sz w:val="18"/>
      <w:szCs w:val="18"/>
      <w:lang w:val="en-US"/>
    </w:rPr>
  </w:style>
  <w:style w:type="paragraph" w:customStyle="1" w:styleId="CaptionDetailTable">
    <w:name w:val="Caption Detail Table"/>
    <w:basedOn w:val="Normal"/>
    <w:autoRedefine/>
    <w:qFormat/>
    <w:rsid w:val="00636E53"/>
    <w:pPr>
      <w:keepNext/>
      <w:tabs>
        <w:tab w:val="left" w:pos="2552"/>
      </w:tabs>
      <w:autoSpaceDE/>
      <w:autoSpaceDN/>
      <w:spacing w:after="120"/>
      <w:ind w:left="227"/>
    </w:pPr>
    <w:rPr>
      <w:rFonts w:eastAsia="Times" w:cs="Times New Roman"/>
      <w:noProof/>
      <w:szCs w:val="22"/>
      <w:lang w:val="en-GB" w:eastAsia="ja-JP"/>
    </w:rPr>
  </w:style>
  <w:style w:type="paragraph" w:customStyle="1" w:styleId="CaptionPhDTable">
    <w:name w:val="Caption PhD Table"/>
    <w:basedOn w:val="Normal"/>
    <w:autoRedefine/>
    <w:qFormat/>
    <w:rsid w:val="00636E53"/>
    <w:pPr>
      <w:ind w:left="454" w:hanging="454"/>
      <w:jc w:val="left"/>
    </w:pPr>
    <w:rPr>
      <w:b/>
      <w:bCs/>
      <w:sz w:val="24"/>
      <w:szCs w:val="18"/>
    </w:rPr>
  </w:style>
  <w:style w:type="character" w:styleId="CommentReference">
    <w:name w:val="annotation reference"/>
    <w:basedOn w:val="DefaultParagraphFont"/>
    <w:uiPriority w:val="99"/>
    <w:semiHidden/>
    <w:unhideWhenUsed/>
    <w:rsid w:val="00636E53"/>
    <w:rPr>
      <w:sz w:val="16"/>
      <w:szCs w:val="16"/>
    </w:rPr>
  </w:style>
  <w:style w:type="paragraph" w:styleId="CommentText">
    <w:name w:val="annotation text"/>
    <w:basedOn w:val="Normal"/>
    <w:link w:val="CommentTextChar"/>
    <w:uiPriority w:val="99"/>
    <w:semiHidden/>
    <w:unhideWhenUsed/>
    <w:rsid w:val="00636E53"/>
    <w:rPr>
      <w:sz w:val="20"/>
      <w:szCs w:val="20"/>
    </w:rPr>
  </w:style>
  <w:style w:type="character" w:customStyle="1" w:styleId="CommentTextChar">
    <w:name w:val="Comment Text Char"/>
    <w:basedOn w:val="DefaultParagraphFont"/>
    <w:link w:val="CommentText"/>
    <w:uiPriority w:val="99"/>
    <w:semiHidden/>
    <w:rsid w:val="00636E53"/>
    <w:rPr>
      <w:rFonts w:ascii="Times New Roman" w:eastAsiaTheme="minorEastAsia"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636E53"/>
    <w:rPr>
      <w:b/>
      <w:bCs/>
    </w:rPr>
  </w:style>
  <w:style w:type="character" w:customStyle="1" w:styleId="CommentSubjectChar">
    <w:name w:val="Comment Subject Char"/>
    <w:basedOn w:val="CommentTextChar"/>
    <w:link w:val="CommentSubject"/>
    <w:uiPriority w:val="99"/>
    <w:semiHidden/>
    <w:rsid w:val="00636E53"/>
    <w:rPr>
      <w:rFonts w:ascii="Times New Roman" w:eastAsiaTheme="minorEastAsia" w:hAnsi="Times New Roman"/>
      <w:b/>
      <w:bCs/>
      <w:sz w:val="20"/>
      <w:szCs w:val="20"/>
      <w:lang w:val="en-US"/>
    </w:rPr>
  </w:style>
  <w:style w:type="paragraph" w:customStyle="1" w:styleId="PhDBodytext">
    <w:name w:val="PhD Body text"/>
    <w:basedOn w:val="Normal"/>
    <w:autoRedefine/>
    <w:qFormat/>
    <w:rsid w:val="00F547CB"/>
    <w:pPr>
      <w:tabs>
        <w:tab w:val="left" w:pos="0"/>
        <w:tab w:val="left" w:pos="709"/>
        <w:tab w:val="left" w:pos="1134"/>
        <w:tab w:val="left" w:pos="2835"/>
      </w:tabs>
      <w:autoSpaceDE/>
      <w:autoSpaceDN/>
      <w:spacing w:before="160" w:after="120"/>
      <w:jc w:val="left"/>
    </w:pPr>
    <w:rPr>
      <w:rFonts w:ascii="Adelle PE" w:eastAsia="Times" w:hAnsi="Adelle PE" w:cs="Times New Roman"/>
      <w:szCs w:val="22"/>
      <w:lang w:val="en-GB" w:eastAsia="ja-JP"/>
    </w:rPr>
  </w:style>
  <w:style w:type="character" w:customStyle="1" w:styleId="PhDshortquoteitalics">
    <w:name w:val="PhD short quote italics"/>
    <w:basedOn w:val="DefaultParagraphFont"/>
    <w:uiPriority w:val="1"/>
    <w:qFormat/>
    <w:rsid w:val="001D76AD"/>
    <w:rPr>
      <w:rFonts w:ascii="Times New Roman" w:hAnsi="Times New Roman"/>
      <w:i/>
      <w:sz w:val="24"/>
    </w:rPr>
  </w:style>
  <w:style w:type="paragraph" w:styleId="NormalWeb">
    <w:name w:val="Normal (Web)"/>
    <w:basedOn w:val="Normal"/>
    <w:uiPriority w:val="99"/>
    <w:semiHidden/>
    <w:unhideWhenUsed/>
    <w:rsid w:val="00F41F7C"/>
    <w:pPr>
      <w:autoSpaceDE/>
      <w:autoSpaceDN/>
      <w:spacing w:before="100" w:beforeAutospacing="1" w:after="100" w:afterAutospacing="1"/>
      <w:jc w:val="left"/>
    </w:pPr>
    <w:rPr>
      <w:rFonts w:eastAsia="Times New Roman" w:cs="Times New Roman"/>
      <w:sz w:val="24"/>
      <w:lang w:val="en-NZ" w:eastAsia="en-NZ"/>
    </w:rPr>
  </w:style>
  <w:style w:type="character" w:customStyle="1" w:styleId="apple-converted-space">
    <w:name w:val="apple-converted-space"/>
    <w:basedOn w:val="DefaultParagraphFont"/>
    <w:rsid w:val="00F41F7C"/>
  </w:style>
  <w:style w:type="paragraph" w:styleId="NoSpacing">
    <w:name w:val="No Spacing"/>
    <w:uiPriority w:val="1"/>
    <w:qFormat/>
    <w:rsid w:val="00F41F7C"/>
    <w:pPr>
      <w:spacing w:after="0" w:line="240" w:lineRule="auto"/>
    </w:pPr>
  </w:style>
  <w:style w:type="paragraph" w:styleId="Revision">
    <w:name w:val="Revision"/>
    <w:hidden/>
    <w:uiPriority w:val="99"/>
    <w:semiHidden/>
    <w:rsid w:val="00A5496E"/>
    <w:pPr>
      <w:spacing w:after="0" w:line="240" w:lineRule="auto"/>
    </w:pPr>
    <w:rPr>
      <w:rFonts w:ascii="Times New Roman" w:eastAsiaTheme="minorEastAsia"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91296">
      <w:bodyDiv w:val="1"/>
      <w:marLeft w:val="0"/>
      <w:marRight w:val="0"/>
      <w:marTop w:val="0"/>
      <w:marBottom w:val="0"/>
      <w:divBdr>
        <w:top w:val="none" w:sz="0" w:space="0" w:color="auto"/>
        <w:left w:val="none" w:sz="0" w:space="0" w:color="auto"/>
        <w:bottom w:val="none" w:sz="0" w:space="0" w:color="auto"/>
        <w:right w:val="none" w:sz="0" w:space="0" w:color="auto"/>
      </w:divBdr>
      <w:divsChild>
        <w:div w:id="1962569415">
          <w:marLeft w:val="0"/>
          <w:marRight w:val="0"/>
          <w:marTop w:val="0"/>
          <w:marBottom w:val="0"/>
          <w:divBdr>
            <w:top w:val="none" w:sz="0" w:space="0" w:color="auto"/>
            <w:left w:val="none" w:sz="0" w:space="0" w:color="auto"/>
            <w:bottom w:val="none" w:sz="0" w:space="0" w:color="auto"/>
            <w:right w:val="none" w:sz="0" w:space="0" w:color="auto"/>
          </w:divBdr>
        </w:div>
        <w:div w:id="61560411">
          <w:marLeft w:val="0"/>
          <w:marRight w:val="0"/>
          <w:marTop w:val="0"/>
          <w:marBottom w:val="0"/>
          <w:divBdr>
            <w:top w:val="none" w:sz="0" w:space="0" w:color="auto"/>
            <w:left w:val="none" w:sz="0" w:space="0" w:color="auto"/>
            <w:bottom w:val="none" w:sz="0" w:space="0" w:color="auto"/>
            <w:right w:val="none" w:sz="0" w:space="0" w:color="auto"/>
          </w:divBdr>
        </w:div>
      </w:divsChild>
    </w:div>
    <w:div w:id="711618588">
      <w:bodyDiv w:val="1"/>
      <w:marLeft w:val="0"/>
      <w:marRight w:val="0"/>
      <w:marTop w:val="0"/>
      <w:marBottom w:val="0"/>
      <w:divBdr>
        <w:top w:val="none" w:sz="0" w:space="0" w:color="auto"/>
        <w:left w:val="none" w:sz="0" w:space="0" w:color="auto"/>
        <w:bottom w:val="none" w:sz="0" w:space="0" w:color="auto"/>
        <w:right w:val="none" w:sz="0" w:space="0" w:color="auto"/>
      </w:divBdr>
      <w:divsChild>
        <w:div w:id="257492329">
          <w:marLeft w:val="0"/>
          <w:marRight w:val="0"/>
          <w:marTop w:val="0"/>
          <w:marBottom w:val="0"/>
          <w:divBdr>
            <w:top w:val="none" w:sz="0" w:space="0" w:color="auto"/>
            <w:left w:val="none" w:sz="0" w:space="0" w:color="auto"/>
            <w:bottom w:val="none" w:sz="0" w:space="0" w:color="auto"/>
            <w:right w:val="none" w:sz="0" w:space="0" w:color="auto"/>
          </w:divBdr>
        </w:div>
      </w:divsChild>
    </w:div>
    <w:div w:id="2050838674">
      <w:bodyDiv w:val="1"/>
      <w:marLeft w:val="0"/>
      <w:marRight w:val="0"/>
      <w:marTop w:val="0"/>
      <w:marBottom w:val="0"/>
      <w:divBdr>
        <w:top w:val="none" w:sz="0" w:space="0" w:color="auto"/>
        <w:left w:val="none" w:sz="0" w:space="0" w:color="auto"/>
        <w:bottom w:val="none" w:sz="0" w:space="0" w:color="auto"/>
        <w:right w:val="none" w:sz="0" w:space="0" w:color="auto"/>
      </w:divBdr>
      <w:divsChild>
        <w:div w:id="1385568528">
          <w:marLeft w:val="0"/>
          <w:marRight w:val="0"/>
          <w:marTop w:val="0"/>
          <w:marBottom w:val="0"/>
          <w:divBdr>
            <w:top w:val="none" w:sz="0" w:space="0" w:color="auto"/>
            <w:left w:val="none" w:sz="0" w:space="0" w:color="auto"/>
            <w:bottom w:val="none" w:sz="0" w:space="0" w:color="auto"/>
            <w:right w:val="none" w:sz="0" w:space="0" w:color="auto"/>
          </w:divBdr>
        </w:div>
        <w:div w:id="368380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Dohaney</dc:creator>
  <cp:keywords/>
  <dc:description/>
  <cp:lastModifiedBy>Jacqueline Dohaney</cp:lastModifiedBy>
  <cp:revision>2</cp:revision>
  <cp:lastPrinted>2016-11-13T07:03:00Z</cp:lastPrinted>
  <dcterms:created xsi:type="dcterms:W3CDTF">2016-11-22T04:25:00Z</dcterms:created>
  <dcterms:modified xsi:type="dcterms:W3CDTF">2016-11-22T04:25:00Z</dcterms:modified>
</cp:coreProperties>
</file>